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44" w:rsidRPr="000903DC" w:rsidRDefault="002A3D44" w:rsidP="008136EC">
      <w:pPr>
        <w:jc w:val="center"/>
      </w:pPr>
    </w:p>
    <w:p w:rsidR="002A3D44" w:rsidRPr="000903DC" w:rsidRDefault="002A3D44" w:rsidP="00A04C71">
      <w:pPr>
        <w:jc w:val="center"/>
      </w:pPr>
    </w:p>
    <w:p w:rsidR="002A3D44" w:rsidRPr="000903DC" w:rsidRDefault="002A3D44">
      <w:pPr>
        <w:pStyle w:val="DecHTitle"/>
      </w:pPr>
      <w:r>
        <w:rPr>
          <w:szCs w:val="24"/>
        </w:rPr>
        <w:t>DEUXIÈME SECTION</w:t>
      </w:r>
    </w:p>
    <w:p w:rsidR="002A3D44" w:rsidRPr="000903DC" w:rsidRDefault="002A3D44" w:rsidP="00DC44E5">
      <w:pPr>
        <w:pStyle w:val="DecHTitle"/>
        <w:rPr>
          <w:caps/>
          <w:sz w:val="32"/>
        </w:rPr>
      </w:pPr>
      <w:r w:rsidRPr="000903DC">
        <w:t>DÉCISION</w:t>
      </w:r>
    </w:p>
    <w:p w:rsidR="002A3D44" w:rsidRPr="00FE41A5" w:rsidRDefault="002A3D44" w:rsidP="00FE41A5">
      <w:pPr>
        <w:pStyle w:val="ECHRTitleCentre2"/>
      </w:pPr>
      <w:r w:rsidRPr="00F9175E">
        <w:t>Requêtes n</w:t>
      </w:r>
      <w:r w:rsidRPr="00F9175E">
        <w:rPr>
          <w:vertAlign w:val="superscript"/>
        </w:rPr>
        <w:t>os</w:t>
      </w:r>
      <w:r>
        <w:t xml:space="preserve"> </w:t>
      </w:r>
      <w:r w:rsidRPr="00FE41A5">
        <w:t>50930/11 et 50893/13</w:t>
      </w:r>
      <w:r>
        <w:br/>
      </w:r>
      <w:r w:rsidRPr="00FE41A5">
        <w:t>Ciro CAVALIERE contre l’Italie</w:t>
      </w:r>
    </w:p>
    <w:p w:rsidR="002A3D44" w:rsidRPr="00261CBA" w:rsidRDefault="002A3D44" w:rsidP="00DD348E">
      <w:pPr>
        <w:pStyle w:val="ECHRPara"/>
      </w:pPr>
      <w:r w:rsidRPr="00261CBA">
        <w:t>La Cour européenne des droits de l</w:t>
      </w:r>
      <w:r>
        <w:t>’</w:t>
      </w:r>
      <w:r w:rsidRPr="00261CBA">
        <w:t>homme (</w:t>
      </w:r>
      <w:r>
        <w:t>deuxième section</w:t>
      </w:r>
      <w:r w:rsidRPr="00261CBA">
        <w:t xml:space="preserve">), siégeant le </w:t>
      </w:r>
      <w:r>
        <w:t>12 novembre 2013</w:t>
      </w:r>
      <w:r w:rsidRPr="00261CBA">
        <w:t xml:space="preserve"> en une </w:t>
      </w:r>
      <w:r>
        <w:t>Chambre</w:t>
      </w:r>
      <w:r w:rsidRPr="00261CBA">
        <w:t xml:space="preserve"> composée de :</w:t>
      </w:r>
    </w:p>
    <w:p w:rsidR="002A3D44" w:rsidRPr="00F702D1" w:rsidRDefault="002A3D44" w:rsidP="00505DD0">
      <w:pPr>
        <w:pStyle w:val="ECHRPara"/>
        <w:jc w:val="left"/>
      </w:pPr>
      <w:r w:rsidRPr="0079379D">
        <w:tab/>
        <w:t>Işıl</w:t>
      </w:r>
      <w:r>
        <w:t xml:space="preserve"> </w:t>
      </w:r>
      <w:r w:rsidRPr="0079379D">
        <w:t>Karakaş</w:t>
      </w:r>
      <w:r>
        <w:t>,</w:t>
      </w:r>
      <w:r w:rsidRPr="0079379D">
        <w:rPr>
          <w:i/>
        </w:rPr>
        <w:t xml:space="preserve"> présidente,</w:t>
      </w:r>
      <w:r>
        <w:rPr>
          <w:i/>
        </w:rPr>
        <w:br/>
      </w:r>
      <w:r w:rsidRPr="0079379D">
        <w:tab/>
        <w:t>Guido</w:t>
      </w:r>
      <w:r>
        <w:t xml:space="preserve"> </w:t>
      </w:r>
      <w:r w:rsidRPr="0079379D">
        <w:t>Raimondi</w:t>
      </w:r>
      <w:r>
        <w:t>,</w:t>
      </w:r>
      <w:r>
        <w:rPr>
          <w:i/>
        </w:rPr>
        <w:br/>
      </w:r>
      <w:r w:rsidRPr="0079379D">
        <w:tab/>
        <w:t>Peer</w:t>
      </w:r>
      <w:r>
        <w:t xml:space="preserve"> </w:t>
      </w:r>
      <w:r w:rsidRPr="0079379D">
        <w:t>Lorenzen</w:t>
      </w:r>
      <w:r>
        <w:t>,</w:t>
      </w:r>
      <w:r>
        <w:rPr>
          <w:i/>
        </w:rPr>
        <w:br/>
      </w:r>
      <w:r w:rsidRPr="0079379D">
        <w:tab/>
        <w:t>Dragoljub</w:t>
      </w:r>
      <w:r>
        <w:t xml:space="preserve"> </w:t>
      </w:r>
      <w:r w:rsidRPr="0079379D">
        <w:t>Popović</w:t>
      </w:r>
      <w:r>
        <w:t>,</w:t>
      </w:r>
      <w:r>
        <w:rPr>
          <w:i/>
        </w:rPr>
        <w:br/>
      </w:r>
      <w:r w:rsidRPr="0079379D">
        <w:tab/>
        <w:t>András</w:t>
      </w:r>
      <w:r>
        <w:t xml:space="preserve"> </w:t>
      </w:r>
      <w:r w:rsidRPr="0079379D">
        <w:t>Sajó</w:t>
      </w:r>
      <w:r>
        <w:t>,</w:t>
      </w:r>
      <w:r>
        <w:rPr>
          <w:i/>
        </w:rPr>
        <w:br/>
      </w:r>
      <w:r w:rsidRPr="0079379D">
        <w:tab/>
        <w:t>Paulo</w:t>
      </w:r>
      <w:r>
        <w:t xml:space="preserve"> </w:t>
      </w:r>
      <w:r w:rsidRPr="0079379D">
        <w:t>Pinto de Albuquerque</w:t>
      </w:r>
      <w:r>
        <w:t>,</w:t>
      </w:r>
      <w:r>
        <w:rPr>
          <w:i/>
        </w:rPr>
        <w:br/>
      </w:r>
      <w:r w:rsidRPr="0079379D">
        <w:tab/>
        <w:t>Helen</w:t>
      </w:r>
      <w:r>
        <w:t xml:space="preserve"> </w:t>
      </w:r>
      <w:r w:rsidRPr="0079379D">
        <w:t>Keller</w:t>
      </w:r>
      <w:r>
        <w:t>,</w:t>
      </w:r>
      <w:r w:rsidRPr="0079379D">
        <w:rPr>
          <w:i/>
        </w:rPr>
        <w:t xml:space="preserve"> juges,</w:t>
      </w:r>
      <w:r>
        <w:rPr>
          <w:i/>
        </w:rPr>
        <w:br/>
      </w:r>
      <w:r w:rsidRPr="00261CBA">
        <w:t xml:space="preserve">et de </w:t>
      </w:r>
      <w:r>
        <w:t>Stanley</w:t>
      </w:r>
      <w:r w:rsidRPr="00261CBA">
        <w:t xml:space="preserve"> </w:t>
      </w:r>
      <w:r>
        <w:t>Naismith</w:t>
      </w:r>
      <w:r w:rsidRPr="00261CBA">
        <w:t xml:space="preserve">, </w:t>
      </w:r>
      <w:r w:rsidRPr="00261CBA">
        <w:rPr>
          <w:i/>
        </w:rPr>
        <w:t>greffier</w:t>
      </w:r>
      <w:r w:rsidRPr="00261CBA">
        <w:rPr>
          <w:i/>
          <w:iCs/>
        </w:rPr>
        <w:t xml:space="preserve"> d</w:t>
      </w:r>
      <w:r w:rsidRPr="00261CBA">
        <w:rPr>
          <w:i/>
        </w:rPr>
        <w:t>e section,</w:t>
      </w:r>
    </w:p>
    <w:p w:rsidR="002A3D44" w:rsidRPr="00261CBA" w:rsidRDefault="002A3D44" w:rsidP="00DD348E">
      <w:pPr>
        <w:pStyle w:val="ECHRPara"/>
      </w:pPr>
      <w:r w:rsidRPr="00261CBA">
        <w:t xml:space="preserve">Vu les requêtes susmentionnées introduite le </w:t>
      </w:r>
      <w:r>
        <w:t>24 juin 2011</w:t>
      </w:r>
      <w:r w:rsidRPr="00261CBA">
        <w:t xml:space="preserve"> et le </w:t>
      </w:r>
      <w:r>
        <w:t>22 juillet 2013</w:t>
      </w:r>
      <w:r w:rsidRPr="00261CBA">
        <w:t>,</w:t>
      </w:r>
    </w:p>
    <w:p w:rsidR="002A3D44" w:rsidRDefault="002A3D44" w:rsidP="00DD348E">
      <w:pPr>
        <w:pStyle w:val="ECHRPara"/>
      </w:pPr>
      <w:r w:rsidRPr="00261CBA">
        <w:t>Après en avoir délibéré, rend la décision suivante :</w:t>
      </w:r>
    </w:p>
    <w:p w:rsidR="002A3D44" w:rsidRPr="009B447D" w:rsidRDefault="002A3D44" w:rsidP="00DD348E">
      <w:pPr>
        <w:pStyle w:val="ECHRTitle1"/>
      </w:pPr>
      <w:r w:rsidRPr="009B447D">
        <w:t>EN FAIT</w:t>
      </w:r>
    </w:p>
    <w:p w:rsidR="002A3D44" w:rsidRDefault="002A3D44" w:rsidP="00DD348E">
      <w:pPr>
        <w:pStyle w:val="ECHRPara"/>
      </w:pPr>
      <w:r>
        <w:t>1.  </w:t>
      </w:r>
      <w:r w:rsidRPr="00F702D1">
        <w:t xml:space="preserve">Le requérant, </w:t>
      </w:r>
      <w:r>
        <w:t>M.</w:t>
      </w:r>
      <w:r w:rsidRPr="00F702D1">
        <w:t xml:space="preserve"> </w:t>
      </w:r>
      <w:r>
        <w:t>Ciro</w:t>
      </w:r>
      <w:r w:rsidRPr="00F702D1">
        <w:t xml:space="preserve"> </w:t>
      </w:r>
      <w:r>
        <w:t>Cavaliere</w:t>
      </w:r>
      <w:r w:rsidRPr="00F702D1">
        <w:t xml:space="preserve">, est un ressortissant </w:t>
      </w:r>
      <w:r>
        <w:t>italien</w:t>
      </w:r>
      <w:r w:rsidRPr="00F702D1">
        <w:t xml:space="preserve"> né en </w:t>
      </w:r>
      <w:r>
        <w:t>1966</w:t>
      </w:r>
      <w:r w:rsidRPr="00F702D1">
        <w:t xml:space="preserve"> et résidant à </w:t>
      </w:r>
      <w:r>
        <w:t>Giugliano in Campania</w:t>
      </w:r>
      <w:r w:rsidRPr="00F702D1">
        <w:t xml:space="preserve">. </w:t>
      </w:r>
      <w:r>
        <w:t>I</w:t>
      </w:r>
      <w:r w:rsidRPr="00F702D1">
        <w:t>l a été représenté devant la Cour</w:t>
      </w:r>
      <w:r>
        <w:t xml:space="preserve"> </w:t>
      </w:r>
      <w:r w:rsidRPr="00F702D1">
        <w:t>par M</w:t>
      </w:r>
      <w:r w:rsidRPr="00F702D1">
        <w:rPr>
          <w:vertAlign w:val="superscript"/>
        </w:rPr>
        <w:t>e</w:t>
      </w:r>
      <w:r w:rsidRPr="00F702D1">
        <w:t> </w:t>
      </w:r>
      <w:r>
        <w:t>A.</w:t>
      </w:r>
      <w:r w:rsidRPr="00F702D1">
        <w:t xml:space="preserve"> </w:t>
      </w:r>
      <w:r>
        <w:t>Marra</w:t>
      </w:r>
      <w:r w:rsidRPr="00F702D1">
        <w:t xml:space="preserve"> </w:t>
      </w:r>
      <w:r>
        <w:t>(</w:t>
      </w:r>
      <w:r w:rsidRPr="00F702D1">
        <w:t xml:space="preserve">avocat à </w:t>
      </w:r>
      <w:r>
        <w:t>Naples) dans la requête n</w:t>
      </w:r>
      <w:r w:rsidRPr="008B50BD">
        <w:rPr>
          <w:vertAlign w:val="superscript"/>
        </w:rPr>
        <w:t>o</w:t>
      </w:r>
      <w:r>
        <w:t xml:space="preserve"> 50930/11 et </w:t>
      </w:r>
      <w:r w:rsidRPr="00F702D1">
        <w:t>par M</w:t>
      </w:r>
      <w:r w:rsidRPr="00F702D1">
        <w:rPr>
          <w:vertAlign w:val="superscript"/>
        </w:rPr>
        <w:t>e</w:t>
      </w:r>
      <w:r w:rsidRPr="00F702D1">
        <w:t> </w:t>
      </w:r>
      <w:r>
        <w:t>M. Albachiara</w:t>
      </w:r>
      <w:r w:rsidRPr="00F702D1">
        <w:t xml:space="preserve"> </w:t>
      </w:r>
      <w:r>
        <w:t>(</w:t>
      </w:r>
      <w:r w:rsidRPr="00F702D1">
        <w:t xml:space="preserve">avocat à </w:t>
      </w:r>
      <w:r>
        <w:t>Naples) dans la requête n</w:t>
      </w:r>
      <w:r w:rsidRPr="008B50BD">
        <w:rPr>
          <w:vertAlign w:val="superscript"/>
        </w:rPr>
        <w:t>o</w:t>
      </w:r>
      <w:r>
        <w:t xml:space="preserve"> 50893/13</w:t>
      </w:r>
      <w:r w:rsidRPr="00F702D1">
        <w:t>.</w:t>
      </w:r>
    </w:p>
    <w:p w:rsidR="002A3D44" w:rsidRDefault="002A3D44" w:rsidP="00DD348E">
      <w:pPr>
        <w:pStyle w:val="ECHRPara"/>
      </w:pPr>
      <w:r>
        <w:t>2.  </w:t>
      </w:r>
      <w:r w:rsidRPr="00261CBA">
        <w:t>Les faits de la cause</w:t>
      </w:r>
      <w:r>
        <w:t xml:space="preserve"> </w:t>
      </w:r>
      <w:r w:rsidRPr="00261CBA">
        <w:t>peuvent se résumer comme suit.</w:t>
      </w:r>
    </w:p>
    <w:p w:rsidR="002A3D44" w:rsidRDefault="002A3D44" w:rsidP="00DD348E">
      <w:pPr>
        <w:pStyle w:val="ECHRHeading2"/>
        <w:outlineLvl w:val="0"/>
      </w:pPr>
      <w:r w:rsidRPr="009B447D">
        <w:t>A.  </w:t>
      </w:r>
      <w:r>
        <w:t>Faits communs aux deux requêtes</w:t>
      </w:r>
    </w:p>
    <w:p w:rsidR="002A3D44" w:rsidRDefault="002A3D44" w:rsidP="00DD348E">
      <w:pPr>
        <w:pStyle w:val="ECHRPara"/>
        <w:rPr>
          <w:rStyle w:val="sb8d990e2"/>
        </w:rPr>
      </w:pPr>
      <w:r>
        <w:t xml:space="preserve">3.  Le requérant est un infirmier employé originairement par le </w:t>
      </w:r>
      <w:r>
        <w:rPr>
          <w:rStyle w:val="sb8d990e2"/>
        </w:rPr>
        <w:t>service local de santé publique (</w:t>
      </w:r>
      <w:r w:rsidRPr="00F70EC3">
        <w:rPr>
          <w:rStyle w:val="s6b621b36"/>
          <w:i/>
        </w:rPr>
        <w:t>Unità Sani</w:t>
      </w:r>
      <w:r w:rsidRPr="00F70EC3">
        <w:rPr>
          <w:rStyle w:val="wordhighlighted"/>
          <w:i/>
        </w:rPr>
        <w:t>tar</w:t>
      </w:r>
      <w:r w:rsidRPr="00F70EC3">
        <w:rPr>
          <w:rStyle w:val="s6b621b36"/>
          <w:i/>
        </w:rPr>
        <w:t>ia Locale</w:t>
      </w:r>
      <w:r>
        <w:rPr>
          <w:rStyle w:val="s6b621b36"/>
        </w:rPr>
        <w:t>, « USL ») n</w:t>
      </w:r>
      <w:r w:rsidRPr="008B50BD">
        <w:rPr>
          <w:rStyle w:val="s6b621b36"/>
          <w:vertAlign w:val="superscript"/>
        </w:rPr>
        <w:t>o</w:t>
      </w:r>
      <w:r>
        <w:rPr>
          <w:rStyle w:val="s6b621b36"/>
        </w:rPr>
        <w:t xml:space="preserve"> 42 de Naples, structure à laquelle a succédé </w:t>
      </w:r>
      <w:r>
        <w:rPr>
          <w:rStyle w:val="sb8d990e2"/>
        </w:rPr>
        <w:t>l’</w:t>
      </w:r>
      <w:r w:rsidRPr="00A93589">
        <w:rPr>
          <w:rStyle w:val="s6b621b36"/>
          <w:i/>
        </w:rPr>
        <w:t>Azienda Sani</w:t>
      </w:r>
      <w:r w:rsidRPr="00A93589">
        <w:rPr>
          <w:rStyle w:val="wordhighlighted"/>
          <w:i/>
        </w:rPr>
        <w:t>tar</w:t>
      </w:r>
      <w:r w:rsidRPr="00A93589">
        <w:rPr>
          <w:rStyle w:val="s6b621b36"/>
          <w:i/>
        </w:rPr>
        <w:t>ia Locale</w:t>
      </w:r>
      <w:r>
        <w:rPr>
          <w:rStyle w:val="s6b621b36"/>
          <w:i/>
        </w:rPr>
        <w:t> </w:t>
      </w:r>
      <w:r>
        <w:rPr>
          <w:rStyle w:val="s6b621b36"/>
        </w:rPr>
        <w:t xml:space="preserve"> (« ASL »</w:t>
      </w:r>
      <w:r>
        <w:rPr>
          <w:rStyle w:val="sb8d990e2"/>
        </w:rPr>
        <w:t>) Napoli n</w:t>
      </w:r>
      <w:r w:rsidRPr="008B50BD">
        <w:rPr>
          <w:rStyle w:val="sb8d990e2"/>
          <w:vertAlign w:val="superscript"/>
        </w:rPr>
        <w:t>o</w:t>
      </w:r>
      <w:r>
        <w:rPr>
          <w:rStyle w:val="sb8d990e2"/>
        </w:rPr>
        <w:t xml:space="preserve"> 1.</w:t>
      </w:r>
    </w:p>
    <w:p w:rsidR="002A3D44" w:rsidRDefault="002A3D44" w:rsidP="00DD348E">
      <w:pPr>
        <w:pStyle w:val="ECHRPara"/>
        <w:rPr>
          <w:rStyle w:val="sb8d990e2"/>
        </w:rPr>
      </w:pPr>
      <w:r>
        <w:t>4.  Le 1</w:t>
      </w:r>
      <w:r w:rsidRPr="00ED7E29">
        <w:rPr>
          <w:vertAlign w:val="superscript"/>
        </w:rPr>
        <w:t>er</w:t>
      </w:r>
      <w:r>
        <w:t xml:space="preserve"> août 1997, le requérant, avec des collègues, saisit le tribunal administratif régional (« TAR ») de la Campanie, section de Naples, d’un recours en annulation de la décision de </w:t>
      </w:r>
      <w:r>
        <w:rPr>
          <w:rStyle w:val="sb8d990e2"/>
        </w:rPr>
        <w:t>l’</w:t>
      </w:r>
      <w:r>
        <w:rPr>
          <w:rStyle w:val="wordhighlighted"/>
        </w:rPr>
        <w:t>ASL</w:t>
      </w:r>
      <w:r>
        <w:rPr>
          <w:rStyle w:val="sb8d990e2"/>
        </w:rPr>
        <w:t xml:space="preserve"> ordonnant la restitution d’une prime de productivité octroyée auparavant par l’USL.</w:t>
      </w:r>
    </w:p>
    <w:p w:rsidR="002A3D44" w:rsidRDefault="002A3D44" w:rsidP="00DD348E">
      <w:pPr>
        <w:pStyle w:val="ECHRPara"/>
      </w:pPr>
      <w:r>
        <w:t>5.  Le greffe du TAR attribua a ce recours la référence « R.G. n</w:t>
      </w:r>
      <w:r w:rsidRPr="008B50BD">
        <w:rPr>
          <w:vertAlign w:val="superscript"/>
        </w:rPr>
        <w:t>o</w:t>
      </w:r>
      <w:r>
        <w:t> 6751/97 ».</w:t>
      </w:r>
    </w:p>
    <w:p w:rsidR="002A3D44" w:rsidRDefault="002A3D44" w:rsidP="00DD348E">
      <w:pPr>
        <w:pStyle w:val="ECHRPara"/>
      </w:pPr>
      <w:r>
        <w:t>6.  Par l’arrêt n</w:t>
      </w:r>
      <w:r w:rsidRPr="008B50BD">
        <w:rPr>
          <w:vertAlign w:val="superscript"/>
        </w:rPr>
        <w:t>o</w:t>
      </w:r>
      <w:r>
        <w:t xml:space="preserve"> 8264 du 2 décembre 2009, le TAR rejeta le recours.</w:t>
      </w:r>
    </w:p>
    <w:p w:rsidR="002A3D44" w:rsidRDefault="002A3D44" w:rsidP="00DD348E">
      <w:pPr>
        <w:pStyle w:val="ECHRHeading2"/>
        <w:outlineLvl w:val="0"/>
      </w:pPr>
      <w:r>
        <w:t>B</w:t>
      </w:r>
      <w:r w:rsidRPr="009B447D">
        <w:t>.  </w:t>
      </w:r>
      <w:r>
        <w:t>Faits de la requête n</w:t>
      </w:r>
      <w:r w:rsidRPr="008B50BD">
        <w:rPr>
          <w:vertAlign w:val="superscript"/>
        </w:rPr>
        <w:t>o</w:t>
      </w:r>
      <w:r>
        <w:t xml:space="preserve"> 50893/13</w:t>
      </w:r>
    </w:p>
    <w:p w:rsidR="002A3D44" w:rsidRDefault="002A3D44" w:rsidP="00DD348E">
      <w:pPr>
        <w:pStyle w:val="ECHRPara"/>
      </w:pPr>
      <w:r>
        <w:t>7.  Le 9 juillet 2008</w:t>
      </w:r>
      <w:r w:rsidRPr="00F7134A">
        <w:t>, le requérant, représenté par M</w:t>
      </w:r>
      <w:r w:rsidRPr="00F7134A">
        <w:rPr>
          <w:vertAlign w:val="superscript"/>
        </w:rPr>
        <w:t>e</w:t>
      </w:r>
      <w:r w:rsidRPr="00F7134A">
        <w:t xml:space="preserve"> M. Albachiara et un autre avocat, saisit la cour d</w:t>
      </w:r>
      <w:r>
        <w:t>’</w:t>
      </w:r>
      <w:r w:rsidRPr="00F7134A">
        <w:t>appel de Naples aux termes de la loi « Pinto »</w:t>
      </w:r>
      <w:r>
        <w:t xml:space="preserve">, </w:t>
      </w:r>
      <w:r w:rsidRPr="00F7134A">
        <w:t xml:space="preserve">se plaignant de la durée de la procédure R.G. </w:t>
      </w:r>
      <w:r>
        <w:t>n</w:t>
      </w:r>
      <w:r w:rsidRPr="008B50BD">
        <w:rPr>
          <w:vertAlign w:val="superscript"/>
        </w:rPr>
        <w:t>o</w:t>
      </w:r>
      <w:r>
        <w:t xml:space="preserve"> </w:t>
      </w:r>
      <w:r w:rsidRPr="00F7134A">
        <w:t>6751/97 qui était encore pendante devant le TAR.</w:t>
      </w:r>
    </w:p>
    <w:p w:rsidR="002A3D44" w:rsidRDefault="002A3D44" w:rsidP="00DD348E">
      <w:pPr>
        <w:pStyle w:val="ECHRPara"/>
      </w:pPr>
      <w:r>
        <w:t>8.  </w:t>
      </w:r>
      <w:r w:rsidRPr="00F7134A">
        <w:t>En particulier, après avoir exposé l</w:t>
      </w:r>
      <w:r>
        <w:t>’</w:t>
      </w:r>
      <w:r w:rsidRPr="00F7134A">
        <w:t>objet du litige et les faits essentiels de cette procédure (paragraphes 3-5 ci-dessus), il dénonça qu</w:t>
      </w:r>
      <w:r>
        <w:t>’</w:t>
      </w:r>
      <w:r w:rsidRPr="00F7134A">
        <w:t xml:space="preserve">elle avait duré 11 ans </w:t>
      </w:r>
      <w:r>
        <w:t>et demanda la condamnation du ministère de l’Économie et des Finances au paiement de 11 000 EUR à titre de préjudice moral.</w:t>
      </w:r>
    </w:p>
    <w:p w:rsidR="002A3D44" w:rsidRDefault="002A3D44" w:rsidP="00DD348E">
      <w:pPr>
        <w:pStyle w:val="ECHRPara"/>
      </w:pPr>
      <w:r>
        <w:t>9.  Le greffe de la cour d’appel attribua à ce recours la référence « R.G. n</w:t>
      </w:r>
      <w:r w:rsidRPr="008B50BD">
        <w:rPr>
          <w:vertAlign w:val="superscript"/>
        </w:rPr>
        <w:t>o</w:t>
      </w:r>
      <w:r>
        <w:t xml:space="preserve"> 4374/08 ».</w:t>
      </w:r>
    </w:p>
    <w:p w:rsidR="002A3D44" w:rsidRDefault="002A3D44" w:rsidP="00DD348E">
      <w:pPr>
        <w:pStyle w:val="ECHRPara"/>
      </w:pPr>
      <w:r>
        <w:t>10.  Par une décision du 21 juillet 2009, la cour d’appel considéra la durée de la procédure principale jusqu’au 9 juillet 2008, constata le dépassement du délai raisonnable et accorda au requérant 7 916,63 EUR à titre de préjudice moral.</w:t>
      </w:r>
    </w:p>
    <w:p w:rsidR="002A3D44" w:rsidRDefault="002A3D44" w:rsidP="00DD348E">
      <w:pPr>
        <w:pStyle w:val="ECHRPara"/>
      </w:pPr>
      <w:r>
        <w:t>11.  Cette décision fut exécutée le 25 février 2013,</w:t>
      </w:r>
      <w:r w:rsidRPr="000A01FE">
        <w:t xml:space="preserve"> </w:t>
      </w:r>
      <w:r>
        <w:t>suite à une saisie-arrêt auprès du tribunal de Rome (procédure d’exécution R.G. n</w:t>
      </w:r>
      <w:r w:rsidRPr="008B50BD">
        <w:rPr>
          <w:vertAlign w:val="superscript"/>
        </w:rPr>
        <w:t>o</w:t>
      </w:r>
      <w:r>
        <w:t xml:space="preserve"> 22361/11) ; le requérant obtint le paiement de 8 538, 27 EUR.</w:t>
      </w:r>
    </w:p>
    <w:p w:rsidR="002A3D44" w:rsidRDefault="002A3D44" w:rsidP="00DD348E">
      <w:pPr>
        <w:pStyle w:val="ECHRHeading2"/>
        <w:outlineLvl w:val="0"/>
      </w:pPr>
      <w:r>
        <w:t>C</w:t>
      </w:r>
      <w:r w:rsidRPr="009B447D">
        <w:t>.</w:t>
      </w:r>
      <w:r>
        <w:t>  Faits de la requête n</w:t>
      </w:r>
      <w:r w:rsidRPr="008B50BD">
        <w:rPr>
          <w:vertAlign w:val="superscript"/>
        </w:rPr>
        <w:t>o</w:t>
      </w:r>
      <w:r>
        <w:t xml:space="preserve"> 50930/11</w:t>
      </w:r>
    </w:p>
    <w:p w:rsidR="002A3D44" w:rsidRDefault="002A3D44" w:rsidP="00DD348E">
      <w:pPr>
        <w:pStyle w:val="ECHRPara"/>
      </w:pPr>
      <w:r>
        <w:t>12.  Début 2009, vraisemblablement dans le mois de janvier, le requérant, représenté par M</w:t>
      </w:r>
      <w:r>
        <w:rPr>
          <w:vertAlign w:val="superscript"/>
        </w:rPr>
        <w:t>e</w:t>
      </w:r>
      <w:r>
        <w:t xml:space="preserve"> A. Marra, saisit la cour d’appel de Naples aux termes de la loi « Pinto », se plaignant de la durée de la procédure R.G. n</w:t>
      </w:r>
      <w:r w:rsidRPr="008B50BD">
        <w:rPr>
          <w:vertAlign w:val="superscript"/>
        </w:rPr>
        <w:t>o</w:t>
      </w:r>
      <w:r>
        <w:t> 6751/97 qui était encore pendante</w:t>
      </w:r>
      <w:r w:rsidRPr="00F40E04">
        <w:t xml:space="preserve"> </w:t>
      </w:r>
      <w:r>
        <w:t>devant le TAR.</w:t>
      </w:r>
    </w:p>
    <w:p w:rsidR="002A3D44" w:rsidRDefault="002A3D44" w:rsidP="00DD348E">
      <w:pPr>
        <w:pStyle w:val="ECHRPara"/>
      </w:pPr>
      <w:r>
        <w:t>13.  En particulier, après avoir exposé l’objet du litige et les faits essentiels de cette procédure (paragraphes 3-5 ci-dessus), il dénonça qu’elle avait duré « 137 mois » (à savoir plus de 11 ans et 4 mois) jusqu’à l’introduction de son recours « Pinto » et demanda la condamnation du ministère de l’Économie et des Finances au paiement de 19 125 EUR à titre de préjudice moral.</w:t>
      </w:r>
    </w:p>
    <w:p w:rsidR="002A3D44" w:rsidRDefault="002A3D44" w:rsidP="00DD348E">
      <w:pPr>
        <w:pStyle w:val="ECHRPara"/>
      </w:pPr>
      <w:r>
        <w:t>14.  Le greffe de la cour d’appel attribua à ce recours la référence « V.G. n</w:t>
      </w:r>
      <w:r>
        <w:rPr>
          <w:vertAlign w:val="superscript"/>
        </w:rPr>
        <w:t>o</w:t>
      </w:r>
      <w:r>
        <w:t xml:space="preserve"> 510/09 ».</w:t>
      </w:r>
    </w:p>
    <w:p w:rsidR="002A3D44" w:rsidRDefault="002A3D44" w:rsidP="00DD348E">
      <w:pPr>
        <w:pStyle w:val="ECHRPara"/>
      </w:pPr>
      <w:r>
        <w:t>15.  Par une décision du 3 juillet 2009, la cour d’appel considéra la durée de la procédure principale jusqu’au 19 juin 2009, constata le dépassement du délai raisonnable et accorda au requérant 8 913 EUR à titre de préjudice moral.</w:t>
      </w:r>
    </w:p>
    <w:p w:rsidR="002A3D44" w:rsidRDefault="002A3D44" w:rsidP="00DD348E">
      <w:pPr>
        <w:pStyle w:val="ECHRPara"/>
      </w:pPr>
      <w:r>
        <w:t>16.  Cette décision fut exécutée le 26 mai 2011,</w:t>
      </w:r>
      <w:r w:rsidRPr="000A01FE">
        <w:t xml:space="preserve"> </w:t>
      </w:r>
      <w:r>
        <w:t>suite à une saisie-arrêt auprès du tribunal de Rome (procédure d’exécution R.G. n</w:t>
      </w:r>
      <w:r w:rsidRPr="008B50BD">
        <w:rPr>
          <w:vertAlign w:val="superscript"/>
        </w:rPr>
        <w:t>o</w:t>
      </w:r>
      <w:r>
        <w:t xml:space="preserve"> 30633/10) ; le requérant obtint le paiement de 9 195,54 EUR.</w:t>
      </w:r>
    </w:p>
    <w:p w:rsidR="002A3D44" w:rsidRPr="00261CBA" w:rsidRDefault="002A3D44" w:rsidP="00DD348E">
      <w:pPr>
        <w:pStyle w:val="ECHRTitle1"/>
      </w:pPr>
      <w:r w:rsidRPr="00261CBA">
        <w:t>GRIEF</w:t>
      </w:r>
      <w:r>
        <w:t>S</w:t>
      </w:r>
    </w:p>
    <w:p w:rsidR="002A3D44" w:rsidRPr="004611E0" w:rsidRDefault="002A3D44" w:rsidP="00DD348E">
      <w:pPr>
        <w:pStyle w:val="ECHRPara"/>
        <w:rPr>
          <w:i/>
        </w:rPr>
      </w:pPr>
      <w:r w:rsidRPr="004611E0">
        <w:rPr>
          <w:i/>
        </w:rPr>
        <w:t>a)</w:t>
      </w:r>
      <w:r>
        <w:rPr>
          <w:i/>
        </w:rPr>
        <w:t>  </w:t>
      </w:r>
      <w:r w:rsidRPr="004611E0">
        <w:rPr>
          <w:i/>
        </w:rPr>
        <w:t>Requête</w:t>
      </w:r>
      <w:r>
        <w:rPr>
          <w:i/>
        </w:rPr>
        <w:t xml:space="preserve"> n</w:t>
      </w:r>
      <w:r w:rsidRPr="008B50BD">
        <w:rPr>
          <w:i/>
          <w:vertAlign w:val="superscript"/>
        </w:rPr>
        <w:t>o</w:t>
      </w:r>
      <w:r>
        <w:rPr>
          <w:i/>
        </w:rPr>
        <w:t xml:space="preserve"> 50930/11</w:t>
      </w:r>
    </w:p>
    <w:p w:rsidR="002A3D44" w:rsidRDefault="002A3D44" w:rsidP="00DD348E">
      <w:pPr>
        <w:pStyle w:val="ECHRPara"/>
      </w:pPr>
      <w:r>
        <w:t>17.  </w:t>
      </w:r>
      <w:r w:rsidRPr="00261CBA">
        <w:t>Invoquant l</w:t>
      </w:r>
      <w:r>
        <w:t xml:space="preserve">es </w:t>
      </w:r>
      <w:r w:rsidRPr="00261CBA">
        <w:t>article</w:t>
      </w:r>
      <w:r>
        <w:t>s</w:t>
      </w:r>
      <w:r w:rsidRPr="00261CBA">
        <w:t xml:space="preserve"> </w:t>
      </w:r>
      <w:r>
        <w:t>6, 13 et 17</w:t>
      </w:r>
      <w:r w:rsidRPr="00261CBA">
        <w:t xml:space="preserve"> de la Convention</w:t>
      </w:r>
      <w:r>
        <w:t xml:space="preserve"> et 1 du Protocole n</w:t>
      </w:r>
      <w:r w:rsidRPr="008B50BD">
        <w:rPr>
          <w:vertAlign w:val="superscript"/>
        </w:rPr>
        <w:t>o</w:t>
      </w:r>
      <w:r>
        <w:t xml:space="preserve"> 1, le requérant se plaint du retard dans l’exécution de la décision « Pinto » du 3 juillet 2009 (V.G. n</w:t>
      </w:r>
      <w:r w:rsidRPr="008B50BD">
        <w:rPr>
          <w:vertAlign w:val="superscript"/>
        </w:rPr>
        <w:t>o</w:t>
      </w:r>
      <w:r>
        <w:t xml:space="preserve"> 510/09).</w:t>
      </w:r>
    </w:p>
    <w:p w:rsidR="002A3D44" w:rsidRDefault="002A3D44" w:rsidP="00DD348E">
      <w:pPr>
        <w:pStyle w:val="ECHRPara"/>
        <w:rPr>
          <w:i/>
        </w:rPr>
      </w:pPr>
      <w:r>
        <w:rPr>
          <w:i/>
        </w:rPr>
        <w:t>b)  </w:t>
      </w:r>
      <w:r w:rsidRPr="004611E0">
        <w:rPr>
          <w:i/>
        </w:rPr>
        <w:t>Requête</w:t>
      </w:r>
      <w:r>
        <w:rPr>
          <w:i/>
        </w:rPr>
        <w:t xml:space="preserve"> n</w:t>
      </w:r>
      <w:r w:rsidRPr="008B50BD">
        <w:rPr>
          <w:i/>
          <w:vertAlign w:val="superscript"/>
        </w:rPr>
        <w:t>o</w:t>
      </w:r>
      <w:r>
        <w:rPr>
          <w:i/>
        </w:rPr>
        <w:t xml:space="preserve"> 50893/13</w:t>
      </w:r>
    </w:p>
    <w:p w:rsidR="002A3D44" w:rsidRPr="004611E0" w:rsidRDefault="002A3D44" w:rsidP="00DD348E">
      <w:pPr>
        <w:pStyle w:val="ECHRPara"/>
      </w:pPr>
      <w:r>
        <w:t>18.  Invoquant l’article 6 de la Convention, le requérant se plaint de la durée de la procédure « Pinto » R.G. n</w:t>
      </w:r>
      <w:r w:rsidRPr="008B50BD">
        <w:rPr>
          <w:vertAlign w:val="superscript"/>
        </w:rPr>
        <w:t>o</w:t>
      </w:r>
      <w:r>
        <w:t xml:space="preserve"> 4374/08, allant de l’introduction du recours auprès de la cour d’appel de Naples jusqu’au paiement du montant</w:t>
      </w:r>
      <w:r w:rsidRPr="00011E92">
        <w:t xml:space="preserve"> </w:t>
      </w:r>
      <w:r>
        <w:t>« Pinto ».</w:t>
      </w:r>
    </w:p>
    <w:p w:rsidR="002A3D44" w:rsidRDefault="002A3D44" w:rsidP="00DD348E">
      <w:pPr>
        <w:pStyle w:val="ECHRTitle1"/>
      </w:pPr>
      <w:r w:rsidRPr="00261CBA">
        <w:t>EN DROIT</w:t>
      </w:r>
    </w:p>
    <w:p w:rsidR="002A3D44" w:rsidRDefault="002A3D44" w:rsidP="00DD348E">
      <w:pPr>
        <w:pStyle w:val="ECHRPara"/>
      </w:pPr>
      <w:r>
        <w:t>19.  Compte tenu de la similitude des faits et des questions juridiques posées par les requêtes, la Cour décide de les joindre et de les examiner ensemble (article 42 § 1 du règlement de la Cour).</w:t>
      </w:r>
    </w:p>
    <w:p w:rsidR="002A3D44" w:rsidRDefault="002A3D44" w:rsidP="00DD348E">
      <w:pPr>
        <w:pStyle w:val="ECHRPara"/>
      </w:pPr>
      <w:r>
        <w:rPr>
          <w:lang w:eastAsia="en-US"/>
        </w:rPr>
        <w:t xml:space="preserve">20. La Cour rappelle qu’une requête peut être considérée comme étant abusive aux termes de l’article 35 § 3 a) de la Convention </w:t>
      </w:r>
      <w:r>
        <w:t xml:space="preserve">si, par exemple, elle a été fondée sciemment sur des faits controuvés (voir, entre autres, </w:t>
      </w:r>
      <w:r>
        <w:rPr>
          <w:i/>
        </w:rPr>
        <w:t xml:space="preserve">Jian c. Roumanie </w:t>
      </w:r>
      <w:r>
        <w:t>(déc.), n</w:t>
      </w:r>
      <w:r>
        <w:rPr>
          <w:vertAlign w:val="superscript"/>
        </w:rPr>
        <w:t>o</w:t>
      </w:r>
      <w:r>
        <w:t xml:space="preserve"> 46640/99, 30 mars 2004 ; </w:t>
      </w:r>
      <w:r>
        <w:rPr>
          <w:i/>
          <w:lang w:eastAsia="en-US"/>
        </w:rPr>
        <w:t xml:space="preserve">Keretchachvili c. Géorgie </w:t>
      </w:r>
      <w:r>
        <w:rPr>
          <w:lang w:eastAsia="en-US"/>
        </w:rPr>
        <w:t>(déc.), n</w:t>
      </w:r>
      <w:r>
        <w:rPr>
          <w:vertAlign w:val="superscript"/>
          <w:lang w:eastAsia="en-US"/>
        </w:rPr>
        <w:t>o</w:t>
      </w:r>
      <w:r>
        <w:rPr>
          <w:lang w:eastAsia="en-US"/>
        </w:rPr>
        <w:t xml:space="preserve"> 5667/02, </w:t>
      </w:r>
      <w:r>
        <w:rPr>
          <w:szCs w:val="24"/>
          <w:lang w:eastAsia="en-US"/>
        </w:rPr>
        <w:t>CEDH 2006</w:t>
      </w:r>
      <w:r>
        <w:rPr>
          <w:szCs w:val="24"/>
          <w:lang w:eastAsia="en-US"/>
        </w:rPr>
        <w:noBreakHyphen/>
        <w:t>V)</w:t>
      </w:r>
      <w:r>
        <w:rPr>
          <w:i/>
        </w:rPr>
        <w:t xml:space="preserve"> </w:t>
      </w:r>
      <w:r>
        <w:t xml:space="preserve">ou si le requérant a passé sous silence des informations essentielles concernant les faits de l’affaire afin d’induire la Cour en erreur (voir, entre autres, </w:t>
      </w:r>
      <w:r>
        <w:rPr>
          <w:i/>
        </w:rPr>
        <w:t>Hüttner c. Allemagne</w:t>
      </w:r>
      <w:r>
        <w:t xml:space="preserve"> (déc.), n</w:t>
      </w:r>
      <w:r>
        <w:rPr>
          <w:vertAlign w:val="superscript"/>
        </w:rPr>
        <w:t>o </w:t>
      </w:r>
      <w:r>
        <w:t>23130/04,   19 juin 2006 ;</w:t>
      </w:r>
      <w:r>
        <w:rPr>
          <w:i/>
        </w:rPr>
        <w:t xml:space="preserve"> Basileo et autres c. Italie </w:t>
      </w:r>
      <w:r>
        <w:t>(déc.), n</w:t>
      </w:r>
      <w:r>
        <w:rPr>
          <w:vertAlign w:val="superscript"/>
        </w:rPr>
        <w:t>o</w:t>
      </w:r>
      <w:r>
        <w:t xml:space="preserve"> 11303/02, 23 août 2011).</w:t>
      </w:r>
    </w:p>
    <w:p w:rsidR="002A3D44" w:rsidRDefault="002A3D44" w:rsidP="00DD348E">
      <w:pPr>
        <w:pStyle w:val="ECHRPara"/>
        <w:rPr>
          <w:lang w:eastAsia="en-US"/>
        </w:rPr>
      </w:pPr>
      <w:r>
        <w:rPr>
          <w:lang w:eastAsia="en-US"/>
        </w:rPr>
        <w:t xml:space="preserve">21.  La Cour a déjà affirmé, en outre, que « </w:t>
      </w:r>
      <w:r>
        <w:t xml:space="preserve">tout comportement du requérant manifestement contraire à la vocation du droit de recours et entravant le bon fonctionnement de la Cour ou le bon déroulement de la procédure devant elle, peut [en principe] être qualifié d’abusif » (voir </w:t>
      </w:r>
      <w:r>
        <w:rPr>
          <w:i/>
          <w:lang w:eastAsia="en-US"/>
        </w:rPr>
        <w:t>Miroļubovs et autres c. Latvia</w:t>
      </w:r>
      <w:r>
        <w:rPr>
          <w:lang w:eastAsia="en-US"/>
        </w:rPr>
        <w:t>, n</w:t>
      </w:r>
      <w:r>
        <w:rPr>
          <w:vertAlign w:val="superscript"/>
          <w:lang w:eastAsia="en-US"/>
        </w:rPr>
        <w:t>o</w:t>
      </w:r>
      <w:r>
        <w:rPr>
          <w:lang w:eastAsia="en-US"/>
        </w:rPr>
        <w:t xml:space="preserve"> 798/05, § 65, 15 septembre 2009), la notion d’abus, aux termes de l’article 35 § 3 a) de la Convention, devant être </w:t>
      </w:r>
      <w:r>
        <w:t>comprise dans son sens ordinaire retenu par la théorie générale du droit – à savoir le fait, par le titulaire d’un droit, de le mettre en œuvre en dehors de sa finalité d’une manière préjudiciable</w:t>
      </w:r>
      <w:r>
        <w:rPr>
          <w:lang w:eastAsia="en-US"/>
        </w:rPr>
        <w:t xml:space="preserve"> (voir </w:t>
      </w:r>
      <w:r>
        <w:rPr>
          <w:i/>
          <w:lang w:eastAsia="en-US"/>
        </w:rPr>
        <w:t>Miroļubovs et autres</w:t>
      </w:r>
      <w:r>
        <w:rPr>
          <w:lang w:eastAsia="en-US"/>
        </w:rPr>
        <w:t xml:space="preserve">, précitée, § 62 ; </w:t>
      </w:r>
      <w:r w:rsidRPr="00F47495">
        <w:rPr>
          <w:i/>
          <w:lang w:eastAsia="en-US"/>
        </w:rPr>
        <w:t xml:space="preserve">Petrović c. Serbie </w:t>
      </w:r>
      <w:r w:rsidRPr="00F47495">
        <w:rPr>
          <w:lang w:eastAsia="en-US"/>
        </w:rPr>
        <w:t>(déc.), n</w:t>
      </w:r>
      <w:r w:rsidRPr="00F47495">
        <w:rPr>
          <w:vertAlign w:val="superscript"/>
          <w:lang w:eastAsia="en-US"/>
        </w:rPr>
        <w:t>os</w:t>
      </w:r>
      <w:r w:rsidRPr="00F47495">
        <w:rPr>
          <w:lang w:eastAsia="en-US"/>
        </w:rPr>
        <w:t xml:space="preserve"> 56551/11 et dix autres, 18 octobre 2011).</w:t>
      </w:r>
    </w:p>
    <w:p w:rsidR="002A3D44" w:rsidRDefault="002A3D44" w:rsidP="00DD348E">
      <w:pPr>
        <w:pStyle w:val="ECHRPara"/>
        <w:rPr>
          <w:lang w:eastAsia="en-US"/>
        </w:rPr>
      </w:pPr>
      <w:r>
        <w:rPr>
          <w:lang w:eastAsia="en-US"/>
        </w:rPr>
        <w:t xml:space="preserve">22.  La Cour réitère, enfin, qu’aux termes de l’article 44A du règlement, « [l]es parties </w:t>
      </w:r>
      <w:r>
        <w:rPr>
          <w:szCs w:val="24"/>
          <w:lang w:eastAsia="en-US"/>
        </w:rPr>
        <w:t xml:space="preserve">ont l’obligation </w:t>
      </w:r>
      <w:r>
        <w:rPr>
          <w:szCs w:val="24"/>
        </w:rPr>
        <w:t>de coopérer pleinement à la conduite de la procédure »</w:t>
      </w:r>
      <w:r>
        <w:t>. Elle</w:t>
      </w:r>
      <w:r>
        <w:rPr>
          <w:lang w:eastAsia="en-US"/>
        </w:rPr>
        <w:t xml:space="preserve"> a maintes fois jugé que les règles de procédure prévues en droit interne </w:t>
      </w:r>
      <w:r>
        <w:t>visent à assurer la bonne administration de la justice et le respect du principe de sécurité juridique et que les intéressés doivent pouvoir s’attendre à ce que ces règles soient appliquées. L</w:t>
      </w:r>
      <w:r>
        <w:rPr>
          <w:lang w:eastAsia="en-US"/>
        </w:rPr>
        <w:t xml:space="preserve">e même constat s’impose </w:t>
      </w:r>
      <w:r>
        <w:rPr>
          <w:i/>
          <w:lang w:eastAsia="en-US"/>
        </w:rPr>
        <w:t>a fortiori</w:t>
      </w:r>
      <w:r>
        <w:rPr>
          <w:lang w:eastAsia="en-US"/>
        </w:rPr>
        <w:t xml:space="preserve"> au regard des dispositions procédurales de la Convention et du règlement de la Cour (voir </w:t>
      </w:r>
      <w:r>
        <w:rPr>
          <w:i/>
          <w:lang w:eastAsia="en-US"/>
        </w:rPr>
        <w:t>Miroļubovs et autres</w:t>
      </w:r>
      <w:r>
        <w:rPr>
          <w:lang w:eastAsia="en-US"/>
        </w:rPr>
        <w:t>, précité, § 66).</w:t>
      </w:r>
    </w:p>
    <w:p w:rsidR="002A3D44" w:rsidRPr="00DD3C37" w:rsidRDefault="002A3D44" w:rsidP="00DD348E">
      <w:pPr>
        <w:pStyle w:val="ECHRPara"/>
        <w:rPr>
          <w:lang w:eastAsia="en-US"/>
        </w:rPr>
      </w:pPr>
      <w:r>
        <w:rPr>
          <w:lang w:eastAsia="en-US"/>
        </w:rPr>
        <w:t>23.  </w:t>
      </w:r>
      <w:r w:rsidRPr="00DD3C37">
        <w:rPr>
          <w:lang w:eastAsia="en-US"/>
        </w:rPr>
        <w:t xml:space="preserve">Un comportement </w:t>
      </w:r>
      <w:r>
        <w:rPr>
          <w:lang w:eastAsia="en-US"/>
        </w:rPr>
        <w:t xml:space="preserve">absolument </w:t>
      </w:r>
      <w:r w:rsidRPr="00DD3C37">
        <w:rPr>
          <w:lang w:eastAsia="en-US"/>
        </w:rPr>
        <w:t xml:space="preserve">irresponsable et léger du requérant ou de son représentant, qui est clairement </w:t>
      </w:r>
      <w:r>
        <w:rPr>
          <w:lang w:eastAsia="en-US"/>
        </w:rPr>
        <w:t>contraire</w:t>
      </w:r>
      <w:r w:rsidRPr="00DD3C37">
        <w:rPr>
          <w:lang w:eastAsia="en-US"/>
        </w:rPr>
        <w:t xml:space="preserve"> à la véritable mission de la Cour aux termes des articles</w:t>
      </w:r>
      <w:r>
        <w:rPr>
          <w:lang w:eastAsia="en-US"/>
        </w:rPr>
        <w:t xml:space="preserve"> 19 et 32 de la Convention</w:t>
      </w:r>
      <w:r w:rsidRPr="00DD3C37">
        <w:rPr>
          <w:lang w:eastAsia="en-US"/>
        </w:rPr>
        <w:t>, peut entra</w:t>
      </w:r>
      <w:r>
        <w:rPr>
          <w:lang w:eastAsia="en-US"/>
        </w:rPr>
        <w:t>î</w:t>
      </w:r>
      <w:r w:rsidRPr="00DD3C37">
        <w:rPr>
          <w:lang w:eastAsia="en-US"/>
        </w:rPr>
        <w:t xml:space="preserve">ner le rejet de la requête comme étant abusive </w:t>
      </w:r>
      <w:r w:rsidRPr="00DD3C37">
        <w:rPr>
          <w:rStyle w:val="sb8d990e2"/>
        </w:rPr>
        <w:t>(</w:t>
      </w:r>
      <w:r w:rsidRPr="00F47495">
        <w:rPr>
          <w:i/>
          <w:lang w:eastAsia="en-US"/>
        </w:rPr>
        <w:t>Petrović</w:t>
      </w:r>
      <w:r>
        <w:rPr>
          <w:lang w:eastAsia="en-US"/>
        </w:rPr>
        <w:t xml:space="preserve">, précité ; </w:t>
      </w:r>
      <w:r>
        <w:rPr>
          <w:i/>
        </w:rPr>
        <w:t>Bekauri c. Géorgie</w:t>
      </w:r>
      <w:r>
        <w:t xml:space="preserve"> (déc.), n</w:t>
      </w:r>
      <w:r>
        <w:rPr>
          <w:vertAlign w:val="superscript"/>
        </w:rPr>
        <w:t>o </w:t>
      </w:r>
      <w:r>
        <w:t>14102/02, §§ 21-24, 10 avril 2012</w:t>
      </w:r>
      <w:r w:rsidRPr="00DD3C37">
        <w:rPr>
          <w:rStyle w:val="sb8d990e2"/>
        </w:rPr>
        <w:t>)</w:t>
      </w:r>
    </w:p>
    <w:p w:rsidR="002A3D44" w:rsidRDefault="002A3D44" w:rsidP="00DD348E">
      <w:pPr>
        <w:pStyle w:val="ECHRPara"/>
      </w:pPr>
      <w:r>
        <w:rPr>
          <w:rStyle w:val="sb8d990e2"/>
        </w:rPr>
        <w:t xml:space="preserve">24.  Sur la base de ces principes, la Cour a déclarée irrecevables, car abusives aux sens de l’article </w:t>
      </w:r>
      <w:r>
        <w:rPr>
          <w:lang w:eastAsia="en-US"/>
        </w:rPr>
        <w:t>35 § 3 a) de la Convention,</w:t>
      </w:r>
      <w:r>
        <w:rPr>
          <w:rStyle w:val="sb8d990e2"/>
        </w:rPr>
        <w:t xml:space="preserve"> des requetés portant sur le retard dans le paiement des montants « Pinto », estimant que « loin</w:t>
      </w:r>
      <w:r>
        <w:rPr>
          <w:lang w:eastAsia="en-US"/>
        </w:rPr>
        <w:t xml:space="preserve"> d’être coopérative avec la Cour et sa mission, la conduite du requérant et de son avocat s’est révélée particulièrement incorrecte et a </w:t>
      </w:r>
      <w:r>
        <w:t>entraîné un gaspillage des ressources de la Cour » (</w:t>
      </w:r>
      <w:r>
        <w:rPr>
          <w:i/>
        </w:rPr>
        <w:t>Simonetti (II) c. Italie et Simonetti (III) c. Italie</w:t>
      </w:r>
      <w:r>
        <w:t xml:space="preserve"> [déc.], n</w:t>
      </w:r>
      <w:r>
        <w:rPr>
          <w:vertAlign w:val="superscript"/>
        </w:rPr>
        <w:t xml:space="preserve">os </w:t>
      </w:r>
      <w:r>
        <w:t xml:space="preserve">50914/11 et 58323/11, § 24, 10 juillet 2012 ; voir aussi </w:t>
      </w:r>
      <w:r>
        <w:rPr>
          <w:i/>
        </w:rPr>
        <w:t>De Cristofaro et autres c. Italie</w:t>
      </w:r>
      <w:r>
        <w:t xml:space="preserve"> [déc.], n</w:t>
      </w:r>
      <w:r w:rsidRPr="00505DD0">
        <w:rPr>
          <w:vertAlign w:val="superscript"/>
        </w:rPr>
        <w:t>o</w:t>
      </w:r>
      <w:r>
        <w:t> 30464/07 et autres, §§ 45-49, 10 juillet 2012).</w:t>
      </w:r>
    </w:p>
    <w:p w:rsidR="002A3D44" w:rsidRDefault="002A3D44" w:rsidP="00DD348E">
      <w:pPr>
        <w:pStyle w:val="ECHRPara"/>
        <w:rPr>
          <w:sz w:val="23"/>
          <w:szCs w:val="23"/>
        </w:rPr>
      </w:pPr>
      <w:r>
        <w:rPr>
          <w:rStyle w:val="sb8d990e2"/>
        </w:rPr>
        <w:t xml:space="preserve">25.  Dans l’affaire </w:t>
      </w:r>
      <w:r>
        <w:rPr>
          <w:i/>
        </w:rPr>
        <w:t>Basileo et autres c. Italie</w:t>
      </w:r>
      <w:r>
        <w:t xml:space="preserve">, précitée, elle a déclaré abusif le grief tiré de </w:t>
      </w:r>
      <w:r>
        <w:rPr>
          <w:rStyle w:val="sb8d990e2"/>
        </w:rPr>
        <w:t>la durée de la procédure principale et de l’insuffisance du montant « Pinto »</w:t>
      </w:r>
      <w:r>
        <w:t xml:space="preserve"> car les requérants </w:t>
      </w:r>
      <w:r w:rsidRPr="00463970">
        <w:t>avaient passé sous silence</w:t>
      </w:r>
      <w:r>
        <w:t>, d’abord aux juridictions « Pinto » et ensuite à la Cour,</w:t>
      </w:r>
      <w:r w:rsidRPr="00463970">
        <w:t xml:space="preserve"> des informations essentielles concernant les faits de l</w:t>
      </w:r>
      <w:r>
        <w:t>’</w:t>
      </w:r>
      <w:r w:rsidRPr="00463970">
        <w:t>affaire afin de l</w:t>
      </w:r>
      <w:r>
        <w:t xml:space="preserve">es induire en erreur (à savoir, le fait que, </w:t>
      </w:r>
      <w:r w:rsidRPr="00D20040">
        <w:t>bien avant la date d</w:t>
      </w:r>
      <w:r>
        <w:t>’</w:t>
      </w:r>
      <w:r w:rsidRPr="00D20040">
        <w:t>introduction de la requête devant la Cour ainsi que du recours au sens de l</w:t>
      </w:r>
      <w:r>
        <w:t>a</w:t>
      </w:r>
      <w:r w:rsidRPr="00D20040">
        <w:t xml:space="preserve"> « loi Pinto », les créances des requérantes</w:t>
      </w:r>
      <w:r w:rsidRPr="00D20040">
        <w:rPr>
          <w:i/>
        </w:rPr>
        <w:t xml:space="preserve"> </w:t>
      </w:r>
      <w:r>
        <w:t xml:space="preserve">qui faisaient l’objet de la procédure principale </w:t>
      </w:r>
      <w:r w:rsidRPr="00D20040">
        <w:t>avaient été intégralement satisfaites</w:t>
      </w:r>
      <w:r>
        <w:t>)</w:t>
      </w:r>
      <w:r w:rsidRPr="00D20040">
        <w:t>.</w:t>
      </w:r>
      <w:r>
        <w:t xml:space="preserve"> De même, dans l’affaire</w:t>
      </w:r>
      <w:r w:rsidRPr="00373135">
        <w:rPr>
          <w:rStyle w:val="sb8d990e2"/>
        </w:rPr>
        <w:t xml:space="preserve"> </w:t>
      </w:r>
      <w:r>
        <w:rPr>
          <w:i/>
        </w:rPr>
        <w:t>Rubeca c. Italie</w:t>
      </w:r>
      <w:r>
        <w:t xml:space="preserve"> [déc.], n</w:t>
      </w:r>
      <w:r w:rsidRPr="00505DD0">
        <w:rPr>
          <w:vertAlign w:val="superscript"/>
        </w:rPr>
        <w:t>o</w:t>
      </w:r>
      <w:r>
        <w:t xml:space="preserve"> 36773/02, § 29, 10 mai 2012, </w:t>
      </w:r>
      <w:r w:rsidRPr="00C46B25">
        <w:rPr>
          <w:szCs w:val="24"/>
        </w:rPr>
        <w:t>la Cour a déclaré abusif un grief du même type en raison de ce que le requérant avait omis d</w:t>
      </w:r>
      <w:r>
        <w:rPr>
          <w:szCs w:val="24"/>
        </w:rPr>
        <w:t>’</w:t>
      </w:r>
      <w:r w:rsidRPr="00C46B25">
        <w:rPr>
          <w:szCs w:val="24"/>
        </w:rPr>
        <w:t>informer la cour d</w:t>
      </w:r>
      <w:r>
        <w:rPr>
          <w:szCs w:val="24"/>
        </w:rPr>
        <w:t>’</w:t>
      </w:r>
      <w:r w:rsidRPr="00C46B25">
        <w:rPr>
          <w:szCs w:val="24"/>
        </w:rPr>
        <w:t>appel « Pinto » d</w:t>
      </w:r>
      <w:r>
        <w:rPr>
          <w:szCs w:val="24"/>
        </w:rPr>
        <w:t>’</w:t>
      </w:r>
      <w:r w:rsidRPr="00C46B25">
        <w:rPr>
          <w:szCs w:val="24"/>
        </w:rPr>
        <w:t>une circonstance essentielle concernant la recevabilité de son recours</w:t>
      </w:r>
      <w:r>
        <w:rPr>
          <w:sz w:val="23"/>
          <w:szCs w:val="23"/>
        </w:rPr>
        <w:t xml:space="preserve"> </w:t>
      </w:r>
      <w:r w:rsidRPr="00C46B25">
        <w:rPr>
          <w:szCs w:val="24"/>
        </w:rPr>
        <w:t>« Pinto »,</w:t>
      </w:r>
      <w:r>
        <w:rPr>
          <w:sz w:val="23"/>
          <w:szCs w:val="23"/>
        </w:rPr>
        <w:t xml:space="preserve"> </w:t>
      </w:r>
      <w:r w:rsidRPr="00C46B25">
        <w:rPr>
          <w:szCs w:val="24"/>
        </w:rPr>
        <w:t>contournant les règles procédurales régissant le remède interne et obtenant,</w:t>
      </w:r>
      <w:r>
        <w:rPr>
          <w:sz w:val="23"/>
          <w:szCs w:val="23"/>
        </w:rPr>
        <w:t xml:space="preserve"> </w:t>
      </w:r>
      <w:r w:rsidRPr="00C46B25">
        <w:rPr>
          <w:szCs w:val="24"/>
        </w:rPr>
        <w:t>ainsi, une indemnisation pour la violation du délai raisonnable aux termes de l</w:t>
      </w:r>
      <w:r>
        <w:rPr>
          <w:szCs w:val="24"/>
        </w:rPr>
        <w:t>’</w:t>
      </w:r>
      <w:r w:rsidRPr="00C46B25">
        <w:rPr>
          <w:szCs w:val="24"/>
        </w:rPr>
        <w:t>article 6 § 1 de la Convention</w:t>
      </w:r>
      <w:r>
        <w:rPr>
          <w:sz w:val="23"/>
          <w:szCs w:val="23"/>
        </w:rPr>
        <w:t>.</w:t>
      </w:r>
    </w:p>
    <w:p w:rsidR="002A3D44" w:rsidRDefault="002A3D44" w:rsidP="00DD348E">
      <w:pPr>
        <w:pStyle w:val="ECHRPara"/>
        <w:rPr>
          <w:rStyle w:val="sb8d990e2"/>
        </w:rPr>
      </w:pPr>
      <w:r>
        <w:t>26.  </w:t>
      </w:r>
      <w:r w:rsidRPr="00C46B25">
        <w:rPr>
          <w:szCs w:val="24"/>
        </w:rPr>
        <w:t xml:space="preserve">Dans les affaires </w:t>
      </w:r>
      <w:r w:rsidRPr="00C46B25">
        <w:rPr>
          <w:i/>
          <w:szCs w:val="24"/>
        </w:rPr>
        <w:t>Basileo et autres</w:t>
      </w:r>
      <w:r w:rsidRPr="00C46B25">
        <w:rPr>
          <w:szCs w:val="24"/>
        </w:rPr>
        <w:t xml:space="preserve"> et </w:t>
      </w:r>
      <w:r w:rsidRPr="00C46B25">
        <w:rPr>
          <w:i/>
          <w:szCs w:val="24"/>
        </w:rPr>
        <w:t>Rubeca</w:t>
      </w:r>
      <w:r w:rsidRPr="00C46B25">
        <w:rPr>
          <w:szCs w:val="24"/>
        </w:rPr>
        <w:t>, § 35, précitées, après avoir déclaré abusif le grief portant sur la durée de la procédure principale, la Cour a conclu au défaut manifeste de fondement pour le grief portant sur le retard dans le paiement des montants « Pinto », soulignant</w:t>
      </w:r>
      <w:r>
        <w:t xml:space="preserve"> que </w:t>
      </w:r>
      <w:r>
        <w:rPr>
          <w:rStyle w:val="sb8d990e2"/>
        </w:rPr>
        <w:t>la circonstance que la cour d’appel Pinto avait reconnu aux requérants, « sur une base erronée, un dédommagement moral, ne saurait engendrer des droits pour ces derniers à l’égard de la Convention, les conclusions de l’instance en cause dérivant, tout au moins en partie, du comportement fautif des requérants ». Cependant, malgré le fait que les affaires présentes portent sur des griefs similaires (retard dans l’exécution de la décision « Pinto », pour la requête n</w:t>
      </w:r>
      <w:r w:rsidRPr="00505DD0">
        <w:rPr>
          <w:rStyle w:val="sb8d990e2"/>
          <w:vertAlign w:val="superscript"/>
        </w:rPr>
        <w:t>o</w:t>
      </w:r>
      <w:r>
        <w:rPr>
          <w:rStyle w:val="sb8d990e2"/>
        </w:rPr>
        <w:t xml:space="preserve"> 50930/11, et durée de la procédure « Pinto », pour la requête n</w:t>
      </w:r>
      <w:r w:rsidRPr="00505DD0">
        <w:rPr>
          <w:rStyle w:val="sb8d990e2"/>
          <w:vertAlign w:val="superscript"/>
        </w:rPr>
        <w:t>o</w:t>
      </w:r>
      <w:r>
        <w:rPr>
          <w:rStyle w:val="sb8d990e2"/>
        </w:rPr>
        <w:t> 50893/13), la Cour n’estime pas parvenir à la même conclusion.</w:t>
      </w:r>
    </w:p>
    <w:p w:rsidR="002A3D44" w:rsidRDefault="002A3D44" w:rsidP="00DD348E">
      <w:pPr>
        <w:pStyle w:val="ECHRPara"/>
      </w:pPr>
      <w:r>
        <w:t>27.   La Cour relève qu’en l’espèce le requérant a saisi la cour d’appel « Pinto » deux fois, en juillet 2008 et janvier 2009, pour se plaindre de la durée de la procédure R.G. n</w:t>
      </w:r>
      <w:r w:rsidRPr="008B50BD">
        <w:rPr>
          <w:vertAlign w:val="superscript"/>
        </w:rPr>
        <w:t>o</w:t>
      </w:r>
      <w:r>
        <w:t xml:space="preserve"> 6751/97, pendante devant le TAR. Ainsi, il a touché, sans aucun titre, un double dédommagement pour le même préjudice moral découlant, en substance, de la même violation du délai raisonnable aux termes de l’article 6 § 1 de la Convention.</w:t>
      </w:r>
    </w:p>
    <w:p w:rsidR="002A3D44" w:rsidRDefault="002A3D44" w:rsidP="00DD348E">
      <w:pPr>
        <w:pStyle w:val="ECHRPara"/>
      </w:pPr>
      <w:r>
        <w:t xml:space="preserve">28.  Ensuite, il s’est adressé deux fois à la Cour, soulevant des griefs où le retard dans l’exécution des deux décisions Pinto pertinentes entre toujours en ligne de compte. </w:t>
      </w:r>
      <w:r>
        <w:rPr>
          <w:rStyle w:val="sb8d990e2"/>
        </w:rPr>
        <w:t>En effet, « lorsqu’un requérant se plaint de la durée de la phase judiciaire d’un recours « Pinto », ainsi que d’un retard dans le paiement de l’indemnisation, le temps s’écoulant entre la date de la décision exécutoire de la cour d’appel « Pinto » et le paiement effectif de la somme accordée doit être pris en considération pour évaluer la durée de la procédure (</w:t>
      </w:r>
      <w:r w:rsidRPr="00A459E9">
        <w:rPr>
          <w:rFonts w:eastAsia="Times New Roman"/>
          <w:i/>
          <w:szCs w:val="20"/>
        </w:rPr>
        <w:t>Belperio et Ciarmoli c. Italie</w:t>
      </w:r>
      <w:r w:rsidRPr="00A459E9">
        <w:rPr>
          <w:rFonts w:eastAsia="Times New Roman"/>
          <w:szCs w:val="20"/>
        </w:rPr>
        <w:t>, n</w:t>
      </w:r>
      <w:r w:rsidRPr="00A459E9">
        <w:rPr>
          <w:rFonts w:eastAsia="Times New Roman"/>
          <w:szCs w:val="20"/>
          <w:vertAlign w:val="superscript"/>
        </w:rPr>
        <w:t>o</w:t>
      </w:r>
      <w:r w:rsidRPr="00A459E9">
        <w:rPr>
          <w:rFonts w:eastAsia="Times New Roman"/>
          <w:szCs w:val="20"/>
        </w:rPr>
        <w:t xml:space="preserve"> 7932/04</w:t>
      </w:r>
      <w:r w:rsidRPr="00A459E9">
        <w:rPr>
          <w:rFonts w:eastAsia="Times New Roman"/>
          <w:snapToGrid w:val="0"/>
          <w:szCs w:val="24"/>
        </w:rPr>
        <w:t xml:space="preserve">, § </w:t>
      </w:r>
      <w:r>
        <w:rPr>
          <w:rFonts w:eastAsia="Times New Roman"/>
          <w:snapToGrid w:val="0"/>
          <w:szCs w:val="24"/>
        </w:rPr>
        <w:t>41</w:t>
      </w:r>
      <w:r w:rsidRPr="00A459E9">
        <w:rPr>
          <w:rFonts w:eastAsia="Times New Roman"/>
          <w:snapToGrid w:val="0"/>
          <w:szCs w:val="24"/>
        </w:rPr>
        <w:t xml:space="preserve">, 21 </w:t>
      </w:r>
      <w:r w:rsidRPr="00A459E9">
        <w:rPr>
          <w:rFonts w:eastAsia="Times New Roman"/>
          <w:szCs w:val="24"/>
        </w:rPr>
        <w:t>décembre</w:t>
      </w:r>
      <w:r w:rsidRPr="00A459E9">
        <w:rPr>
          <w:rFonts w:eastAsia="Times New Roman"/>
          <w:snapToGrid w:val="0"/>
          <w:szCs w:val="24"/>
        </w:rPr>
        <w:t xml:space="preserve"> 2010</w:t>
      </w:r>
      <w:r>
        <w:rPr>
          <w:rFonts w:eastAsia="Times New Roman"/>
          <w:snapToGrid w:val="0"/>
          <w:szCs w:val="24"/>
        </w:rPr>
        <w:t>).</w:t>
      </w:r>
      <w:r>
        <w:t xml:space="preserve"> Dans sa requête n</w:t>
      </w:r>
      <w:r w:rsidRPr="00505DD0">
        <w:rPr>
          <w:vertAlign w:val="superscript"/>
        </w:rPr>
        <w:t>o</w:t>
      </w:r>
      <w:r>
        <w:t xml:space="preserve"> 50893/13, le requérant n’a signalé ni l’existence de sa requête n</w:t>
      </w:r>
      <w:r w:rsidRPr="00505DD0">
        <w:rPr>
          <w:vertAlign w:val="superscript"/>
        </w:rPr>
        <w:t>o</w:t>
      </w:r>
      <w:r>
        <w:t xml:space="preserve"> 50930/11 ni les liens entre les deux.</w:t>
      </w:r>
    </w:p>
    <w:p w:rsidR="002A3D44" w:rsidRPr="000B4D94" w:rsidRDefault="002A3D44" w:rsidP="00DD348E">
      <w:pPr>
        <w:pStyle w:val="ECHRPara"/>
        <w:rPr>
          <w:rFonts w:eastAsia="Times New Roman"/>
          <w:szCs w:val="20"/>
        </w:rPr>
      </w:pPr>
      <w:r>
        <w:rPr>
          <w:rStyle w:val="sb8d990e2"/>
        </w:rPr>
        <w:t>29</w:t>
      </w:r>
      <w:r w:rsidRPr="00AD0768">
        <w:rPr>
          <w:rStyle w:val="sb8d990e2"/>
        </w:rPr>
        <w:t>.  </w:t>
      </w:r>
      <w:r w:rsidRPr="00D47172">
        <w:rPr>
          <w:rStyle w:val="sb8d990e2"/>
        </w:rPr>
        <w:t xml:space="preserve">La Cour se trouve, donc, confronté </w:t>
      </w:r>
      <w:r>
        <w:rPr>
          <w:rStyle w:val="sb8d990e2"/>
        </w:rPr>
        <w:t xml:space="preserve">ici </w:t>
      </w:r>
      <w:r w:rsidRPr="00D47172">
        <w:rPr>
          <w:rStyle w:val="sb8d990e2"/>
        </w:rPr>
        <w:t xml:space="preserve">à un véritable </w:t>
      </w:r>
      <w:r w:rsidRPr="00D47172">
        <w:rPr>
          <w:lang w:eastAsia="en-US"/>
        </w:rPr>
        <w:t>détournement du droit de recours individuel de son but, aux sens de l</w:t>
      </w:r>
      <w:r>
        <w:rPr>
          <w:lang w:eastAsia="en-US"/>
        </w:rPr>
        <w:t>’</w:t>
      </w:r>
      <w:r w:rsidRPr="00D47172">
        <w:rPr>
          <w:lang w:eastAsia="en-US"/>
        </w:rPr>
        <w:t xml:space="preserve">article 34 de la Convention (voir </w:t>
      </w:r>
      <w:r w:rsidRPr="00D47172">
        <w:rPr>
          <w:i/>
          <w:lang w:eastAsia="en-US"/>
        </w:rPr>
        <w:t>Petrović</w:t>
      </w:r>
      <w:r w:rsidRPr="00D47172">
        <w:rPr>
          <w:lang w:eastAsia="en-US"/>
        </w:rPr>
        <w:t xml:space="preserve"> et </w:t>
      </w:r>
      <w:r w:rsidRPr="00D47172">
        <w:rPr>
          <w:i/>
          <w:lang w:eastAsia="en-US"/>
        </w:rPr>
        <w:t>Bekauri</w:t>
      </w:r>
      <w:r>
        <w:rPr>
          <w:lang w:eastAsia="en-US"/>
        </w:rPr>
        <w:t>, § 24, précitées) ainsi qu’</w:t>
      </w:r>
      <w:r w:rsidRPr="00D47172">
        <w:rPr>
          <w:lang w:eastAsia="en-US"/>
        </w:rPr>
        <w:t>à l</w:t>
      </w:r>
      <w:r>
        <w:rPr>
          <w:lang w:eastAsia="en-US"/>
        </w:rPr>
        <w:t>’</w:t>
      </w:r>
      <w:r w:rsidRPr="00D47172">
        <w:rPr>
          <w:lang w:eastAsia="en-US"/>
        </w:rPr>
        <w:t>utilisation abusive de l</w:t>
      </w:r>
      <w:r>
        <w:rPr>
          <w:lang w:eastAsia="en-US"/>
        </w:rPr>
        <w:t>’</w:t>
      </w:r>
      <w:r w:rsidRPr="00D47172">
        <w:rPr>
          <w:lang w:eastAsia="en-US"/>
        </w:rPr>
        <w:t xml:space="preserve">ensemble du </w:t>
      </w:r>
      <w:r w:rsidRPr="00C46B25">
        <w:rPr>
          <w:szCs w:val="24"/>
        </w:rPr>
        <w:t>mécanisme de sauvegarde instauré par</w:t>
      </w:r>
      <w:r w:rsidRPr="00D47172">
        <w:rPr>
          <w:sz w:val="23"/>
          <w:szCs w:val="23"/>
        </w:rPr>
        <w:t xml:space="preserve"> </w:t>
      </w:r>
      <w:r w:rsidRPr="00C46B25">
        <w:rPr>
          <w:szCs w:val="24"/>
        </w:rPr>
        <w:t>la Convention</w:t>
      </w:r>
      <w:r>
        <w:rPr>
          <w:sz w:val="23"/>
          <w:szCs w:val="23"/>
        </w:rPr>
        <w:t xml:space="preserve">, </w:t>
      </w:r>
      <w:r w:rsidRPr="00C46B25">
        <w:rPr>
          <w:szCs w:val="24"/>
        </w:rPr>
        <w:t>dans lequel les voies de recours internes constituent le premier moyen de protection des droit de l</w:t>
      </w:r>
      <w:r>
        <w:rPr>
          <w:szCs w:val="24"/>
        </w:rPr>
        <w:t>’</w:t>
      </w:r>
      <w:r w:rsidRPr="00C46B25">
        <w:rPr>
          <w:szCs w:val="24"/>
        </w:rPr>
        <w:t>homme</w:t>
      </w:r>
      <w:r w:rsidRPr="00D47172">
        <w:rPr>
          <w:sz w:val="23"/>
          <w:szCs w:val="23"/>
        </w:rPr>
        <w:t xml:space="preserve"> (</w:t>
      </w:r>
      <w:r w:rsidRPr="00C46B25">
        <w:rPr>
          <w:i/>
          <w:iCs/>
          <w:szCs w:val="24"/>
        </w:rPr>
        <w:t xml:space="preserve">Kudła c. Pologne </w:t>
      </w:r>
      <w:r w:rsidRPr="00C46B25">
        <w:rPr>
          <w:szCs w:val="24"/>
        </w:rPr>
        <w:t>([GC], n</w:t>
      </w:r>
      <w:r w:rsidRPr="00505DD0">
        <w:rPr>
          <w:rStyle w:val="sb8d990e2"/>
          <w:szCs w:val="24"/>
          <w:vertAlign w:val="superscript"/>
        </w:rPr>
        <w:t>o</w:t>
      </w:r>
      <w:r>
        <w:rPr>
          <w:rStyle w:val="sb8d990e2"/>
          <w:szCs w:val="24"/>
        </w:rPr>
        <w:t> </w:t>
      </w:r>
      <w:r w:rsidRPr="00C46B25">
        <w:rPr>
          <w:szCs w:val="24"/>
        </w:rPr>
        <w:t>30210/96, § 152, CEDH 2000-XI 152</w:t>
      </w:r>
      <w:r w:rsidRPr="00D47172">
        <w:rPr>
          <w:sz w:val="23"/>
          <w:szCs w:val="23"/>
        </w:rPr>
        <w:t xml:space="preserve"> ; </w:t>
      </w:r>
      <w:r w:rsidRPr="000B4D94">
        <w:rPr>
          <w:rFonts w:eastAsia="Times New Roman"/>
          <w:i/>
          <w:szCs w:val="20"/>
        </w:rPr>
        <w:t>Brusco c. Italie</w:t>
      </w:r>
      <w:r w:rsidRPr="000B4D94">
        <w:rPr>
          <w:rFonts w:eastAsia="Times New Roman"/>
          <w:szCs w:val="20"/>
        </w:rPr>
        <w:t xml:space="preserve"> (déc.), n</w:t>
      </w:r>
      <w:r>
        <w:rPr>
          <w:rFonts w:eastAsia="Times New Roman"/>
          <w:szCs w:val="20"/>
        </w:rPr>
        <w:t>o </w:t>
      </w:r>
      <w:r w:rsidRPr="000B4D94">
        <w:rPr>
          <w:rFonts w:eastAsia="Times New Roman"/>
          <w:szCs w:val="20"/>
        </w:rPr>
        <w:t>69789/</w:t>
      </w:r>
      <w:r>
        <w:rPr>
          <w:rFonts w:eastAsia="Times New Roman"/>
          <w:szCs w:val="20"/>
        </w:rPr>
        <w:t>01,</w:t>
      </w:r>
      <w:r w:rsidRPr="000B4D94">
        <w:rPr>
          <w:rFonts w:eastAsia="Times New Roman"/>
          <w:szCs w:val="20"/>
        </w:rPr>
        <w:t xml:space="preserve"> CEDH 2001</w:t>
      </w:r>
      <w:r w:rsidRPr="000B4D94">
        <w:rPr>
          <w:rFonts w:eastAsia="Times New Roman"/>
          <w:szCs w:val="20"/>
        </w:rPr>
        <w:noBreakHyphen/>
        <w:t>IX</w:t>
      </w:r>
      <w:r w:rsidRPr="00D47172">
        <w:rPr>
          <w:sz w:val="23"/>
          <w:szCs w:val="23"/>
        </w:rPr>
        <w:t>)</w:t>
      </w:r>
      <w:r w:rsidRPr="00D47172">
        <w:rPr>
          <w:lang w:eastAsia="en-US"/>
        </w:rPr>
        <w:t xml:space="preserve">. </w:t>
      </w:r>
      <w:r>
        <w:rPr>
          <w:lang w:eastAsia="en-US"/>
        </w:rPr>
        <w:t xml:space="preserve">Du reste, </w:t>
      </w:r>
      <w:r w:rsidRPr="00C46B25">
        <w:rPr>
          <w:szCs w:val="24"/>
        </w:rPr>
        <w:t>elle a déjà affirmé que le caractère abusif d</w:t>
      </w:r>
      <w:r>
        <w:rPr>
          <w:szCs w:val="24"/>
        </w:rPr>
        <w:t>’</w:t>
      </w:r>
      <w:r w:rsidRPr="00C46B25">
        <w:rPr>
          <w:szCs w:val="24"/>
        </w:rPr>
        <w:t>une requête peut procéder,</w:t>
      </w:r>
      <w:r w:rsidRPr="00D47172">
        <w:rPr>
          <w:sz w:val="23"/>
          <w:szCs w:val="23"/>
        </w:rPr>
        <w:t xml:space="preserve"> </w:t>
      </w:r>
      <w:r w:rsidRPr="00C46B25">
        <w:rPr>
          <w:szCs w:val="24"/>
        </w:rPr>
        <w:t>au moins en partie, de l</w:t>
      </w:r>
      <w:r>
        <w:rPr>
          <w:szCs w:val="24"/>
        </w:rPr>
        <w:t>’</w:t>
      </w:r>
      <w:r w:rsidRPr="00C46B25">
        <w:rPr>
          <w:szCs w:val="24"/>
        </w:rPr>
        <w:t xml:space="preserve">utilisation des voies de recours internes par le requérant ainsi que de sa conduite devant les juridictions nationales (voir </w:t>
      </w:r>
      <w:r w:rsidRPr="00C46B25">
        <w:rPr>
          <w:i/>
          <w:iCs/>
          <w:szCs w:val="24"/>
        </w:rPr>
        <w:t xml:space="preserve">Bock c. Allemagne </w:t>
      </w:r>
      <w:r w:rsidRPr="00C46B25">
        <w:rPr>
          <w:szCs w:val="24"/>
        </w:rPr>
        <w:t>(déc.), n</w:t>
      </w:r>
      <w:r w:rsidRPr="00505DD0">
        <w:rPr>
          <w:rStyle w:val="sb8d990e2"/>
          <w:vertAlign w:val="superscript"/>
        </w:rPr>
        <w:t>o</w:t>
      </w:r>
      <w:r>
        <w:rPr>
          <w:rStyle w:val="sb8d990e2"/>
        </w:rPr>
        <w:t xml:space="preserve"> </w:t>
      </w:r>
      <w:r>
        <w:rPr>
          <w:szCs w:val="24"/>
        </w:rPr>
        <w:t>22051/07, 19 </w:t>
      </w:r>
      <w:r w:rsidRPr="00C46B25">
        <w:rPr>
          <w:szCs w:val="24"/>
        </w:rPr>
        <w:t xml:space="preserve">janvier 2010 ; </w:t>
      </w:r>
      <w:r w:rsidRPr="00C46B25">
        <w:rPr>
          <w:i/>
          <w:iCs/>
          <w:szCs w:val="24"/>
        </w:rPr>
        <w:t xml:space="preserve">Dudek (VIII) c. Allemagne </w:t>
      </w:r>
      <w:r w:rsidRPr="00C46B25">
        <w:rPr>
          <w:szCs w:val="24"/>
        </w:rPr>
        <w:t>(déc.), nos 12977/09, 15856/09, 15890/09, 15892/09 et 16119/09, 23 novembre 2010).</w:t>
      </w:r>
    </w:p>
    <w:p w:rsidR="002A3D44" w:rsidRPr="00D47172" w:rsidRDefault="002A3D44" w:rsidP="00DD348E">
      <w:pPr>
        <w:autoSpaceDE w:val="0"/>
        <w:autoSpaceDN w:val="0"/>
        <w:adjustRightInd w:val="0"/>
        <w:ind w:firstLine="284"/>
        <w:rPr>
          <w:lang w:val="fr-FR"/>
        </w:rPr>
      </w:pPr>
      <w:r>
        <w:rPr>
          <w:lang w:val="fr-FR"/>
        </w:rPr>
        <w:t>30</w:t>
      </w:r>
      <w:r w:rsidRPr="00D47172">
        <w:rPr>
          <w:lang w:val="fr-FR"/>
        </w:rPr>
        <w:t xml:space="preserve">. </w:t>
      </w:r>
      <w:r>
        <w:rPr>
          <w:lang w:val="fr-FR"/>
        </w:rPr>
        <w:t>Compte tenu de ce qui précède</w:t>
      </w:r>
      <w:r w:rsidRPr="00D47172">
        <w:rPr>
          <w:lang w:val="fr-FR"/>
        </w:rPr>
        <w:t xml:space="preserve">, il y a lieu de déclarer les requêtes </w:t>
      </w:r>
      <w:r>
        <w:rPr>
          <w:lang w:val="fr-FR"/>
        </w:rPr>
        <w:t xml:space="preserve">irrecevable comme étant </w:t>
      </w:r>
      <w:r w:rsidRPr="00D47172">
        <w:rPr>
          <w:lang w:val="fr-FR"/>
        </w:rPr>
        <w:t>abusives, en application de l</w:t>
      </w:r>
      <w:r>
        <w:rPr>
          <w:lang w:val="fr-FR"/>
        </w:rPr>
        <w:t>’</w:t>
      </w:r>
      <w:r w:rsidRPr="00D47172">
        <w:rPr>
          <w:lang w:val="fr-FR"/>
        </w:rPr>
        <w:t>article 35 § 3 a) de la Convention.</w:t>
      </w:r>
    </w:p>
    <w:p w:rsidR="002A3D44" w:rsidRPr="00261CBA" w:rsidRDefault="002A3D44" w:rsidP="00276526">
      <w:pPr>
        <w:pStyle w:val="JuParaLast"/>
      </w:pPr>
      <w:r w:rsidRPr="00261CBA">
        <w:t>Par ces motifs, la Cour</w:t>
      </w:r>
      <w:r>
        <w:t>,</w:t>
      </w:r>
      <w:r w:rsidRPr="00261CBA">
        <w:t xml:space="preserve"> à l</w:t>
      </w:r>
      <w:r>
        <w:t>’</w:t>
      </w:r>
      <w:r w:rsidRPr="00261CBA">
        <w:t>unanimité</w:t>
      </w:r>
      <w:r>
        <w:t>,</w:t>
      </w:r>
    </w:p>
    <w:p w:rsidR="002A3D44" w:rsidRPr="009B447D" w:rsidRDefault="002A3D44" w:rsidP="00276526">
      <w:pPr>
        <w:pStyle w:val="DecList"/>
        <w:keepNext/>
        <w:keepLines/>
      </w:pPr>
      <w:r w:rsidRPr="009B447D">
        <w:rPr>
          <w:i/>
        </w:rPr>
        <w:t>Décide</w:t>
      </w:r>
      <w:r w:rsidRPr="009B447D">
        <w:t xml:space="preserve"> de joindre les requêtes ;</w:t>
      </w:r>
    </w:p>
    <w:p w:rsidR="002A3D44" w:rsidRPr="009B447D" w:rsidRDefault="002A3D44" w:rsidP="00276526">
      <w:pPr>
        <w:pStyle w:val="JuParaLast"/>
      </w:pPr>
      <w:r w:rsidRPr="009B447D">
        <w:rPr>
          <w:i/>
        </w:rPr>
        <w:t xml:space="preserve">Déclare </w:t>
      </w:r>
      <w:r w:rsidRPr="009B447D">
        <w:t>les requêtes irrecevables.</w:t>
      </w:r>
    </w:p>
    <w:p w:rsidR="002A3D44" w:rsidRPr="000903DC" w:rsidRDefault="002A3D44" w:rsidP="00276526">
      <w:pPr>
        <w:pStyle w:val="JuSigned"/>
        <w:keepNext/>
        <w:keepLines/>
        <w:rPr>
          <w:szCs w:val="24"/>
        </w:rPr>
      </w:pPr>
      <w:r w:rsidRPr="000903DC">
        <w:tab/>
      </w:r>
      <w:r>
        <w:t>Stanley</w:t>
      </w:r>
      <w:r w:rsidRPr="000903DC">
        <w:t xml:space="preserve"> </w:t>
      </w:r>
      <w:r>
        <w:t>Naismith</w:t>
      </w:r>
      <w:r w:rsidRPr="000903DC">
        <w:tab/>
      </w:r>
      <w:r>
        <w:t>Işıl Karakaş</w:t>
      </w:r>
      <w:r w:rsidRPr="000903DC">
        <w:tab/>
      </w:r>
      <w:r>
        <w:rPr>
          <w:szCs w:val="24"/>
        </w:rPr>
        <w:t>Greffier</w:t>
      </w:r>
      <w:r w:rsidRPr="000903DC">
        <w:tab/>
        <w:t>Présidente</w:t>
      </w:r>
    </w:p>
    <w:sectPr w:rsidR="002A3D44" w:rsidRPr="000903DC" w:rsidSect="0010023A">
      <w:headerReference w:type="even" r:id="rId7"/>
      <w:headerReference w:type="default" r:id="rId8"/>
      <w:headerReference w:type="first" r:id="rId9"/>
      <w:footerReference w:type="first" r:id="rId10"/>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D44" w:rsidRDefault="002A3D44">
      <w:r>
        <w:separator/>
      </w:r>
    </w:p>
  </w:endnote>
  <w:endnote w:type="continuationSeparator" w:id="0">
    <w:p w:rsidR="002A3D44" w:rsidRDefault="002A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44" w:rsidRPr="00150BFA" w:rsidRDefault="002A3D44" w:rsidP="0020718E">
    <w:pPr>
      <w:jc w:val="center"/>
    </w:pPr>
    <w:r w:rsidRPr="00224CE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8" type="#_x0000_t75" style="width:60pt;height:48pt;visibility:visible">
          <v:imagedata r:id="rId1" o:title=""/>
        </v:shape>
      </w:pict>
    </w:r>
  </w:p>
  <w:p w:rsidR="002A3D44" w:rsidRPr="00633A19" w:rsidRDefault="002A3D44" w:rsidP="003146E4">
    <w:pP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D44" w:rsidRDefault="002A3D44">
      <w:r>
        <w:separator/>
      </w:r>
    </w:p>
  </w:footnote>
  <w:footnote w:type="continuationSeparator" w:id="0">
    <w:p w:rsidR="002A3D44" w:rsidRDefault="002A3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44" w:rsidRPr="00505DD0" w:rsidRDefault="002A3D44" w:rsidP="001472F0">
    <w:pPr>
      <w:pStyle w:val="ECHRHeader"/>
    </w:pPr>
    <w:r w:rsidRPr="00505DD0">
      <w:rPr>
        <w:rStyle w:val="PageNumber"/>
      </w:rPr>
      <w:fldChar w:fldCharType="begin"/>
    </w:r>
    <w:r w:rsidRPr="00505DD0">
      <w:rPr>
        <w:rStyle w:val="PageNumber"/>
      </w:rPr>
      <w:instrText xml:space="preserve"> PAGE </w:instrText>
    </w:r>
    <w:r w:rsidRPr="00505DD0">
      <w:rPr>
        <w:rStyle w:val="PageNumber"/>
      </w:rPr>
      <w:fldChar w:fldCharType="separate"/>
    </w:r>
    <w:r>
      <w:rPr>
        <w:rStyle w:val="PageNumber"/>
        <w:noProof/>
      </w:rPr>
      <w:t>2</w:t>
    </w:r>
    <w:r w:rsidRPr="00505DD0">
      <w:rPr>
        <w:rStyle w:val="PageNumber"/>
      </w:rPr>
      <w:fldChar w:fldCharType="end"/>
    </w:r>
    <w:r w:rsidRPr="00505DD0">
      <w:tab/>
      <w:t xml:space="preserve">DÉCISION CAVALIERE </w:t>
    </w:r>
    <w:r>
      <w:rPr>
        <w:noProof/>
      </w:rPr>
      <w:t>c. ITALIE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44" w:rsidRPr="00505DD0" w:rsidRDefault="002A3D44" w:rsidP="001472F0">
    <w:pPr>
      <w:pStyle w:val="ECHRHeader"/>
    </w:pPr>
    <w:r>
      <w:tab/>
    </w:r>
    <w:r w:rsidRPr="00505DD0">
      <w:t xml:space="preserve">DÉCISION CAVALIERE </w:t>
    </w:r>
    <w:r>
      <w:rPr>
        <w:noProof/>
      </w:rPr>
      <w:t>c. ITALIE</w:t>
    </w:r>
    <w:r w:rsidRPr="00505DD0">
      <w:tab/>
    </w:r>
    <w:r w:rsidRPr="00505DD0">
      <w:rPr>
        <w:rStyle w:val="PageNumber"/>
      </w:rPr>
      <w:fldChar w:fldCharType="begin"/>
    </w:r>
    <w:r w:rsidRPr="00505DD0">
      <w:rPr>
        <w:rStyle w:val="PageNumber"/>
      </w:rPr>
      <w:instrText xml:space="preserve"> PAGE </w:instrText>
    </w:r>
    <w:r w:rsidRPr="00505DD0">
      <w:rPr>
        <w:rStyle w:val="PageNumber"/>
      </w:rPr>
      <w:fldChar w:fldCharType="separate"/>
    </w:r>
    <w:r>
      <w:rPr>
        <w:rStyle w:val="PageNumber"/>
        <w:noProof/>
      </w:rPr>
      <w:t>14</w:t>
    </w:r>
    <w:r w:rsidRPr="00505DD0">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44" w:rsidRPr="00A45145" w:rsidRDefault="002A3D44" w:rsidP="00A45145">
    <w:pPr>
      <w:jc w:val="center"/>
    </w:pPr>
    <w:r w:rsidRPr="00224CE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31.75pt;height:95.25pt;visibility:visible">
          <v:imagedata r:id="rId1" o:title=""/>
        </v:shape>
      </w:pict>
    </w:r>
  </w:p>
  <w:p w:rsidR="002A3D44" w:rsidRDefault="002A3D44" w:rsidP="003146E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162C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A0D2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168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5A22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389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89C40"/>
    <w:lvl w:ilvl="0">
      <w:start w:val="1"/>
      <w:numFmt w:val="bullet"/>
      <w:lvlText w:val=""/>
      <w:lvlJc w:val="left"/>
      <w:pPr>
        <w:tabs>
          <w:tab w:val="num" w:pos="360"/>
        </w:tabs>
        <w:ind w:left="360" w:hanging="360"/>
      </w:pPr>
      <w:rPr>
        <w:rFonts w:ascii="Symbol" w:hAnsi="Symbol" w:hint="default"/>
      </w:rPr>
    </w:lvl>
  </w:abstractNum>
  <w:abstractNum w:abstractNumId="10">
    <w:nsid w:val="07C83F2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82775B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B992693"/>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4B04D6D"/>
    <w:multiLevelType w:val="multilevel"/>
    <w:tmpl w:val="0410001F"/>
    <w:lvl w:ilvl="0">
      <w:start w:val="1"/>
      <w:numFmt w:val="decimal"/>
      <w:lvlText w:val="%1."/>
      <w:lvlJc w:val="left"/>
      <w:pPr>
        <w:tabs>
          <w:tab w:val="num" w:pos="1440"/>
        </w:tabs>
        <w:ind w:left="360" w:hanging="360"/>
      </w:pPr>
      <w:rPr>
        <w:rFonts w:cs="Times New Roman"/>
      </w:rPr>
    </w:lvl>
    <w:lvl w:ilvl="1">
      <w:start w:val="1"/>
      <w:numFmt w:val="decimal"/>
      <w:lvlText w:val="%1.%2."/>
      <w:lvlJc w:val="left"/>
      <w:pPr>
        <w:tabs>
          <w:tab w:val="num" w:pos="2880"/>
        </w:tabs>
        <w:ind w:left="792" w:hanging="432"/>
      </w:pPr>
      <w:rPr>
        <w:rFonts w:cs="Times New Roman"/>
      </w:rPr>
    </w:lvl>
    <w:lvl w:ilvl="2">
      <w:start w:val="1"/>
      <w:numFmt w:val="decimal"/>
      <w:lvlText w:val="%1.%2.%3."/>
      <w:lvlJc w:val="left"/>
      <w:pPr>
        <w:tabs>
          <w:tab w:val="num" w:pos="4320"/>
        </w:tabs>
        <w:ind w:left="1224" w:hanging="504"/>
      </w:pPr>
      <w:rPr>
        <w:rFonts w:cs="Times New Roman"/>
      </w:rPr>
    </w:lvl>
    <w:lvl w:ilvl="3">
      <w:start w:val="1"/>
      <w:numFmt w:val="decimal"/>
      <w:lvlText w:val="%1.%2.%3.%4."/>
      <w:lvlJc w:val="left"/>
      <w:pPr>
        <w:tabs>
          <w:tab w:val="num" w:pos="6120"/>
        </w:tabs>
        <w:ind w:left="1728" w:hanging="648"/>
      </w:pPr>
      <w:rPr>
        <w:rFonts w:cs="Times New Roman"/>
      </w:rPr>
    </w:lvl>
    <w:lvl w:ilvl="4">
      <w:start w:val="1"/>
      <w:numFmt w:val="decimal"/>
      <w:lvlText w:val="%1.%2.%3.%4.%5."/>
      <w:lvlJc w:val="left"/>
      <w:pPr>
        <w:tabs>
          <w:tab w:val="num" w:pos="7560"/>
        </w:tabs>
        <w:ind w:left="2232" w:hanging="792"/>
      </w:pPr>
      <w:rPr>
        <w:rFonts w:cs="Times New Roman"/>
      </w:rPr>
    </w:lvl>
    <w:lvl w:ilvl="5">
      <w:start w:val="1"/>
      <w:numFmt w:val="decimal"/>
      <w:lvlText w:val="%1.%2.%3.%4.%5.%6."/>
      <w:lvlJc w:val="left"/>
      <w:pPr>
        <w:tabs>
          <w:tab w:val="num" w:pos="9000"/>
        </w:tabs>
        <w:ind w:left="2736" w:hanging="936"/>
      </w:pPr>
      <w:rPr>
        <w:rFonts w:cs="Times New Roman"/>
      </w:rPr>
    </w:lvl>
    <w:lvl w:ilvl="6">
      <w:start w:val="1"/>
      <w:numFmt w:val="decimal"/>
      <w:lvlText w:val="%1.%2.%3.%4.%5.%6.%7."/>
      <w:lvlJc w:val="left"/>
      <w:pPr>
        <w:tabs>
          <w:tab w:val="num" w:pos="10800"/>
        </w:tabs>
        <w:ind w:left="3240" w:hanging="1080"/>
      </w:pPr>
      <w:rPr>
        <w:rFonts w:cs="Times New Roman"/>
      </w:rPr>
    </w:lvl>
    <w:lvl w:ilvl="7">
      <w:start w:val="1"/>
      <w:numFmt w:val="decimal"/>
      <w:lvlText w:val="%1.%2.%3.%4.%5.%6.%7.%8."/>
      <w:lvlJc w:val="left"/>
      <w:pPr>
        <w:tabs>
          <w:tab w:val="num" w:pos="12240"/>
        </w:tabs>
        <w:ind w:left="3744" w:hanging="1224"/>
      </w:pPr>
      <w:rPr>
        <w:rFonts w:cs="Times New Roman"/>
      </w:rPr>
    </w:lvl>
    <w:lvl w:ilvl="8">
      <w:start w:val="1"/>
      <w:numFmt w:val="decimal"/>
      <w:lvlText w:val="%1.%2.%3.%4.%5.%6.%7.%8.%9."/>
      <w:lvlJc w:val="left"/>
      <w:pPr>
        <w:tabs>
          <w:tab w:val="num" w:pos="13680"/>
        </w:tabs>
        <w:ind w:left="4320" w:hanging="1440"/>
      </w:pPr>
      <w:rPr>
        <w:rFonts w:cs="Times New Roman"/>
      </w:rPr>
    </w:lvl>
  </w:abstractNum>
  <w:abstractNum w:abstractNumId="14">
    <w:nsid w:val="16A20709"/>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A9D37F0"/>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nsid w:val="21BB3F3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ED50D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8"/>
  </w:num>
  <w:num w:numId="23">
    <w:abstractNumId w:val="14"/>
  </w:num>
  <w:num w:numId="24">
    <w:abstractNumId w:val="17"/>
  </w:num>
  <w:num w:numId="25">
    <w:abstractNumId w:val="15"/>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12"/>
  </w:num>
  <w:num w:numId="37">
    <w:abstractNumId w:val="11"/>
  </w:num>
  <w:num w:numId="38">
    <w:abstractNumId w:val="10"/>
  </w:num>
  <w:num w:numId="39">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F804"/>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2"/>
    <w:docVar w:name="AppNatAutre" w:val="0"/>
    <w:docVar w:name="DocVarPREMATURE" w:val="0"/>
    <w:docVar w:name="EMM" w:val="0"/>
    <w:docVar w:name="ETRANSMISSION" w:val="PAR VOIE ÉLECTRONIQUE UNIQUEMENT"/>
    <w:docVar w:name="L4_1Annex" w:val="0"/>
    <w:docVar w:name="L4_1Anonymity" w:val="0"/>
    <w:docVar w:name="NBEMMDOC" w:val="0"/>
    <w:docVar w:name="Plural" w:val="2"/>
    <w:docVar w:name="SecondCaseDateIntro" w:val="7/22/2013"/>
    <w:docVar w:name="SecondCaseFirstName" w:val="CIRO"/>
    <w:docVar w:name="SecondCaseLastName" w:val="CAVALIERE"/>
    <w:docVar w:name="SecondCaseNumber" w:val="50893/13"/>
    <w:docVar w:name="SecondCaseState" w:val="l'Italie"/>
    <w:docVar w:name="SignForeName" w:val="0"/>
  </w:docVars>
  <w:rsids>
    <w:rsidRoot w:val="00505DD0"/>
    <w:rsid w:val="00011E92"/>
    <w:rsid w:val="00023136"/>
    <w:rsid w:val="00032F1D"/>
    <w:rsid w:val="000549FE"/>
    <w:rsid w:val="00065108"/>
    <w:rsid w:val="000776E7"/>
    <w:rsid w:val="000903DC"/>
    <w:rsid w:val="00090C1A"/>
    <w:rsid w:val="00094B9B"/>
    <w:rsid w:val="000A01FE"/>
    <w:rsid w:val="000A1401"/>
    <w:rsid w:val="000B4D94"/>
    <w:rsid w:val="000D527F"/>
    <w:rsid w:val="000F6A08"/>
    <w:rsid w:val="0010023A"/>
    <w:rsid w:val="00107930"/>
    <w:rsid w:val="00112D62"/>
    <w:rsid w:val="0011604E"/>
    <w:rsid w:val="001472F0"/>
    <w:rsid w:val="00150BFA"/>
    <w:rsid w:val="00154F16"/>
    <w:rsid w:val="00166FBD"/>
    <w:rsid w:val="00172736"/>
    <w:rsid w:val="001D1FA9"/>
    <w:rsid w:val="00203AD0"/>
    <w:rsid w:val="00205AA5"/>
    <w:rsid w:val="0020718E"/>
    <w:rsid w:val="002118F8"/>
    <w:rsid w:val="00224CE3"/>
    <w:rsid w:val="00226A7D"/>
    <w:rsid w:val="002532BA"/>
    <w:rsid w:val="00255060"/>
    <w:rsid w:val="00261CBA"/>
    <w:rsid w:val="0027093D"/>
    <w:rsid w:val="002712D0"/>
    <w:rsid w:val="00276526"/>
    <w:rsid w:val="002770EA"/>
    <w:rsid w:val="0028619D"/>
    <w:rsid w:val="002A3D44"/>
    <w:rsid w:val="002D6308"/>
    <w:rsid w:val="002E58E5"/>
    <w:rsid w:val="002E7061"/>
    <w:rsid w:val="00310822"/>
    <w:rsid w:val="0031317E"/>
    <w:rsid w:val="003146E4"/>
    <w:rsid w:val="0032205F"/>
    <w:rsid w:val="0034473C"/>
    <w:rsid w:val="0036750A"/>
    <w:rsid w:val="00373135"/>
    <w:rsid w:val="00385AD6"/>
    <w:rsid w:val="003B16FB"/>
    <w:rsid w:val="003C22C1"/>
    <w:rsid w:val="003C36F5"/>
    <w:rsid w:val="003D0B23"/>
    <w:rsid w:val="003F25B2"/>
    <w:rsid w:val="00400961"/>
    <w:rsid w:val="00403E4B"/>
    <w:rsid w:val="00407DAE"/>
    <w:rsid w:val="00420AA8"/>
    <w:rsid w:val="0044279A"/>
    <w:rsid w:val="004611E0"/>
    <w:rsid w:val="00463970"/>
    <w:rsid w:val="00493AB0"/>
    <w:rsid w:val="00493E46"/>
    <w:rsid w:val="004A3858"/>
    <w:rsid w:val="004B31F3"/>
    <w:rsid w:val="005037AE"/>
    <w:rsid w:val="00505DD0"/>
    <w:rsid w:val="00540FD1"/>
    <w:rsid w:val="005868BE"/>
    <w:rsid w:val="005A42E8"/>
    <w:rsid w:val="005B6C5B"/>
    <w:rsid w:val="005E5D17"/>
    <w:rsid w:val="005F5CB1"/>
    <w:rsid w:val="00632DEF"/>
    <w:rsid w:val="00633392"/>
    <w:rsid w:val="00633A19"/>
    <w:rsid w:val="00684F0E"/>
    <w:rsid w:val="006A2B72"/>
    <w:rsid w:val="006A7B93"/>
    <w:rsid w:val="006E27C0"/>
    <w:rsid w:val="007651AE"/>
    <w:rsid w:val="0079379D"/>
    <w:rsid w:val="007A309B"/>
    <w:rsid w:val="007D76BA"/>
    <w:rsid w:val="007F129C"/>
    <w:rsid w:val="00801124"/>
    <w:rsid w:val="00803C18"/>
    <w:rsid w:val="008136EC"/>
    <w:rsid w:val="00832AA9"/>
    <w:rsid w:val="00844B64"/>
    <w:rsid w:val="008579EB"/>
    <w:rsid w:val="00865E41"/>
    <w:rsid w:val="00874A8F"/>
    <w:rsid w:val="00875B0A"/>
    <w:rsid w:val="008B50BD"/>
    <w:rsid w:val="008E63DB"/>
    <w:rsid w:val="00927DD4"/>
    <w:rsid w:val="0093692A"/>
    <w:rsid w:val="009730E8"/>
    <w:rsid w:val="009778E2"/>
    <w:rsid w:val="00984EA3"/>
    <w:rsid w:val="009927A5"/>
    <w:rsid w:val="009A7AF9"/>
    <w:rsid w:val="009B224F"/>
    <w:rsid w:val="009B447D"/>
    <w:rsid w:val="009B451E"/>
    <w:rsid w:val="009B5280"/>
    <w:rsid w:val="00A04C71"/>
    <w:rsid w:val="00A144FE"/>
    <w:rsid w:val="00A17FA0"/>
    <w:rsid w:val="00A45145"/>
    <w:rsid w:val="00A459E9"/>
    <w:rsid w:val="00A93589"/>
    <w:rsid w:val="00A95342"/>
    <w:rsid w:val="00AA7712"/>
    <w:rsid w:val="00AC51AB"/>
    <w:rsid w:val="00AD0768"/>
    <w:rsid w:val="00B1214B"/>
    <w:rsid w:val="00B241C8"/>
    <w:rsid w:val="00B32A42"/>
    <w:rsid w:val="00B43BED"/>
    <w:rsid w:val="00B5195D"/>
    <w:rsid w:val="00B779A1"/>
    <w:rsid w:val="00B82A8F"/>
    <w:rsid w:val="00BB340A"/>
    <w:rsid w:val="00BF1267"/>
    <w:rsid w:val="00BF2FDC"/>
    <w:rsid w:val="00C01876"/>
    <w:rsid w:val="00C46B25"/>
    <w:rsid w:val="00C7172B"/>
    <w:rsid w:val="00C92045"/>
    <w:rsid w:val="00C95B14"/>
    <w:rsid w:val="00CC6A4E"/>
    <w:rsid w:val="00CC7EC4"/>
    <w:rsid w:val="00D20040"/>
    <w:rsid w:val="00D25AE8"/>
    <w:rsid w:val="00D47172"/>
    <w:rsid w:val="00D83B17"/>
    <w:rsid w:val="00DA7E94"/>
    <w:rsid w:val="00DB28B4"/>
    <w:rsid w:val="00DB5EE7"/>
    <w:rsid w:val="00DC44E5"/>
    <w:rsid w:val="00DD2564"/>
    <w:rsid w:val="00DD348E"/>
    <w:rsid w:val="00DD3C37"/>
    <w:rsid w:val="00E20A24"/>
    <w:rsid w:val="00E620B4"/>
    <w:rsid w:val="00E6776A"/>
    <w:rsid w:val="00EB6E07"/>
    <w:rsid w:val="00EC49B5"/>
    <w:rsid w:val="00ED11F0"/>
    <w:rsid w:val="00ED7E29"/>
    <w:rsid w:val="00EE39D3"/>
    <w:rsid w:val="00F12B8E"/>
    <w:rsid w:val="00F24036"/>
    <w:rsid w:val="00F275F4"/>
    <w:rsid w:val="00F40E04"/>
    <w:rsid w:val="00F47495"/>
    <w:rsid w:val="00F658A0"/>
    <w:rsid w:val="00F702D1"/>
    <w:rsid w:val="00F706B5"/>
    <w:rsid w:val="00F70EC3"/>
    <w:rsid w:val="00F7134A"/>
    <w:rsid w:val="00F9175E"/>
    <w:rsid w:val="00F9710C"/>
    <w:rsid w:val="00FA22CA"/>
    <w:rsid w:val="00FA5B45"/>
    <w:rsid w:val="00FD6C5C"/>
    <w:rsid w:val="00FE41A5"/>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50A"/>
    <w:pPr>
      <w:jc w:val="both"/>
    </w:pPr>
    <w:rPr>
      <w:rFonts w:eastAsia="MS Mincho"/>
      <w:sz w:val="24"/>
      <w:lang w:val="en-US" w:eastAsia="en-US"/>
    </w:rPr>
  </w:style>
  <w:style w:type="paragraph" w:styleId="Heading1">
    <w:name w:val="heading 1"/>
    <w:basedOn w:val="Normal"/>
    <w:next w:val="Normal"/>
    <w:link w:val="Heading1Char"/>
    <w:uiPriority w:val="99"/>
    <w:qFormat/>
    <w:rsid w:val="0036750A"/>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36750A"/>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36750A"/>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36750A"/>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36750A"/>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36750A"/>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36750A"/>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36750A"/>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36750A"/>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A"/>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locked/>
    <w:rsid w:val="0036750A"/>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locked/>
    <w:rsid w:val="0036750A"/>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locked/>
    <w:rsid w:val="0036750A"/>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locked/>
    <w:rsid w:val="0036750A"/>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locked/>
    <w:rsid w:val="0036750A"/>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locked/>
    <w:rsid w:val="0036750A"/>
    <w:rPr>
      <w:rFonts w:ascii="Times New Roman" w:eastAsia="MS Gothic" w:hAnsi="Times New Roman" w:cs="Times New Roman"/>
      <w:i/>
      <w:iCs/>
    </w:rPr>
  </w:style>
  <w:style w:type="character" w:customStyle="1" w:styleId="Heading8Char">
    <w:name w:val="Heading 8 Char"/>
    <w:basedOn w:val="DefaultParagraphFont"/>
    <w:link w:val="Heading8"/>
    <w:uiPriority w:val="99"/>
    <w:locked/>
    <w:rsid w:val="0036750A"/>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locked/>
    <w:rsid w:val="0036750A"/>
    <w:rPr>
      <w:rFonts w:ascii="Times New Roman" w:eastAsia="MS Gothic" w:hAnsi="Times New Roman" w:cs="Times New Roman"/>
      <w:i/>
      <w:iCs/>
      <w:spacing w:val="5"/>
      <w:sz w:val="20"/>
      <w:szCs w:val="20"/>
    </w:rPr>
  </w:style>
  <w:style w:type="paragraph" w:styleId="Header">
    <w:name w:val="header"/>
    <w:basedOn w:val="Normal"/>
    <w:link w:val="HeaderChar"/>
    <w:uiPriority w:val="99"/>
    <w:semiHidden/>
    <w:rsid w:val="0036750A"/>
    <w:pPr>
      <w:tabs>
        <w:tab w:val="center" w:pos="4536"/>
        <w:tab w:val="right" w:pos="9072"/>
      </w:tabs>
    </w:pPr>
    <w:rPr>
      <w:rFonts w:eastAsia="Times New Roman"/>
    </w:rPr>
  </w:style>
  <w:style w:type="character" w:customStyle="1" w:styleId="HeaderChar">
    <w:name w:val="Header Char"/>
    <w:basedOn w:val="DefaultParagraphFont"/>
    <w:link w:val="Header"/>
    <w:uiPriority w:val="99"/>
    <w:locked/>
    <w:rsid w:val="0036750A"/>
    <w:rPr>
      <w:rFonts w:cs="Times New Roman"/>
      <w:sz w:val="24"/>
      <w:lang w:val="en-US" w:eastAsia="en-US"/>
    </w:rPr>
  </w:style>
  <w:style w:type="paragraph" w:styleId="FootnoteText">
    <w:name w:val="footnote text"/>
    <w:basedOn w:val="Normal"/>
    <w:link w:val="FootnoteTextChar"/>
    <w:uiPriority w:val="99"/>
    <w:semiHidden/>
    <w:rsid w:val="0036750A"/>
    <w:rPr>
      <w:sz w:val="20"/>
      <w:szCs w:val="20"/>
    </w:rPr>
  </w:style>
  <w:style w:type="character" w:customStyle="1" w:styleId="FootnoteTextChar">
    <w:name w:val="Footnote Text Char"/>
    <w:basedOn w:val="DefaultParagraphFont"/>
    <w:link w:val="FootnoteText"/>
    <w:uiPriority w:val="99"/>
    <w:semiHidden/>
    <w:locked/>
    <w:rsid w:val="0036750A"/>
    <w:rPr>
      <w:rFonts w:eastAsia="MS Mincho" w:cs="Times New Roman"/>
      <w:sz w:val="20"/>
      <w:szCs w:val="20"/>
      <w:lang w:val="en-US" w:eastAsia="en-US"/>
    </w:rPr>
  </w:style>
  <w:style w:type="paragraph" w:styleId="Footer">
    <w:name w:val="footer"/>
    <w:basedOn w:val="Normal"/>
    <w:link w:val="FooterChar"/>
    <w:uiPriority w:val="99"/>
    <w:semiHidden/>
    <w:rsid w:val="0036750A"/>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locked/>
    <w:rsid w:val="0036750A"/>
    <w:rPr>
      <w:rFonts w:cs="Times New Roman"/>
      <w:sz w:val="24"/>
      <w:lang w:val="en-US" w:eastAsia="en-US"/>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styleId="FootnoteReference">
    <w:name w:val="footnote reference"/>
    <w:basedOn w:val="DefaultParagraphFont"/>
    <w:uiPriority w:val="99"/>
    <w:semiHidden/>
    <w:rsid w:val="0036750A"/>
    <w:rPr>
      <w:rFonts w:cs="Times New Roman"/>
      <w:vertAlign w:val="superscript"/>
    </w:rPr>
  </w:style>
  <w:style w:type="character" w:styleId="CommentReference">
    <w:name w:val="annotation reference"/>
    <w:basedOn w:val="DefaultParagraphFont"/>
    <w:uiPriority w:val="99"/>
    <w:semiHidden/>
    <w:rsid w:val="00632DEF"/>
    <w:rPr>
      <w:rFonts w:cs="Times New Roman"/>
      <w:sz w:val="16"/>
    </w:rPr>
  </w:style>
  <w:style w:type="paragraph" w:styleId="CommentText">
    <w:name w:val="annotation text"/>
    <w:basedOn w:val="Normal"/>
    <w:link w:val="CommentTextChar"/>
    <w:uiPriority w:val="99"/>
    <w:semiHidden/>
    <w:rsid w:val="00632DEF"/>
    <w:rPr>
      <w:sz w:val="20"/>
    </w:rPr>
  </w:style>
  <w:style w:type="character" w:customStyle="1" w:styleId="CommentTextChar">
    <w:name w:val="Comment Text Char"/>
    <w:basedOn w:val="DefaultParagraphFont"/>
    <w:link w:val="CommentText"/>
    <w:uiPriority w:val="99"/>
    <w:semiHidden/>
    <w:locked/>
    <w:rsid w:val="0036750A"/>
    <w:rPr>
      <w:rFonts w:eastAsia="MS Mincho" w:cs="Times New Roman"/>
      <w:sz w:val="20"/>
      <w:lang w:val="en-US" w:eastAsia="en-US"/>
    </w:rPr>
  </w:style>
  <w:style w:type="character" w:customStyle="1" w:styleId="BalloonTextChar">
    <w:name w:val="Balloon Text Char"/>
    <w:basedOn w:val="DefaultParagraphFont"/>
    <w:link w:val="BalloonText"/>
    <w:uiPriority w:val="99"/>
    <w:semiHidden/>
    <w:locked/>
    <w:rsid w:val="0036750A"/>
    <w:rPr>
      <w:rFonts w:ascii="Tahoma" w:eastAsia="MS Mincho" w:hAnsi="Tahoma" w:cs="Tahoma"/>
      <w:sz w:val="16"/>
      <w:szCs w:val="16"/>
      <w:lang w:val="en-US" w:eastAsia="en-US"/>
    </w:rPr>
  </w:style>
  <w:style w:type="paragraph" w:customStyle="1" w:styleId="ECHRFooter">
    <w:name w:val="ECHR_Footer"/>
    <w:aliases w:val="Footer_ECHR"/>
    <w:basedOn w:val="Footer"/>
    <w:uiPriority w:val="99"/>
    <w:semiHidden/>
    <w:rsid w:val="0036750A"/>
  </w:style>
  <w:style w:type="paragraph" w:customStyle="1" w:styleId="ECHRPara">
    <w:name w:val="ECHR_Para"/>
    <w:aliases w:val="Ju_Para,Left,First line:  0 cm"/>
    <w:basedOn w:val="Normal"/>
    <w:link w:val="JuParaChar"/>
    <w:uiPriority w:val="99"/>
    <w:rsid w:val="0036750A"/>
    <w:pPr>
      <w:ind w:firstLine="284"/>
    </w:pPr>
    <w:rPr>
      <w:lang w:val="fr-FR" w:eastAsia="fr-FR"/>
    </w:rPr>
  </w:style>
  <w:style w:type="paragraph" w:customStyle="1" w:styleId="ECHRFooterLine">
    <w:name w:val="ECHR_Footer_Line"/>
    <w:aliases w:val="Footer_Line"/>
    <w:basedOn w:val="Normal"/>
    <w:next w:val="ECHRFooter"/>
    <w:uiPriority w:val="99"/>
    <w:semiHidden/>
    <w:rsid w:val="0036750A"/>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36750A"/>
    <w:pPr>
      <w:tabs>
        <w:tab w:val="clear" w:pos="4536"/>
        <w:tab w:val="clear" w:pos="9072"/>
        <w:tab w:val="center" w:pos="3686"/>
        <w:tab w:val="right" w:pos="7371"/>
      </w:tabs>
      <w:jc w:val="left"/>
    </w:pPr>
    <w:rPr>
      <w:sz w:val="18"/>
      <w:lang w:val="fr-FR" w:eastAsia="fr-FR"/>
    </w:rPr>
  </w:style>
  <w:style w:type="paragraph" w:customStyle="1" w:styleId="JuAppQuestion">
    <w:name w:val="Ju_App_Question"/>
    <w:basedOn w:val="Normal"/>
    <w:uiPriority w:val="99"/>
    <w:rsid w:val="0036750A"/>
    <w:pPr>
      <w:numPr>
        <w:numId w:val="22"/>
      </w:numPr>
      <w:jc w:val="left"/>
    </w:pPr>
    <w:rPr>
      <w:b/>
      <w:lang w:val="fr-FR" w:eastAsia="fr-FR"/>
    </w:rPr>
  </w:style>
  <w:style w:type="paragraph" w:customStyle="1" w:styleId="OpiPara">
    <w:name w:val="Opi_Para"/>
    <w:basedOn w:val="ECHRPara"/>
    <w:uiPriority w:val="99"/>
    <w:semiHidden/>
    <w:rsid w:val="0036750A"/>
  </w:style>
  <w:style w:type="paragraph" w:customStyle="1" w:styleId="ECHRParaQuote">
    <w:name w:val="ECHR_Para_Quote"/>
    <w:aliases w:val="Ju_Quot"/>
    <w:basedOn w:val="Normal"/>
    <w:uiPriority w:val="99"/>
    <w:rsid w:val="0036750A"/>
    <w:pPr>
      <w:spacing w:before="120" w:after="120"/>
      <w:ind w:left="425" w:firstLine="142"/>
    </w:pPr>
    <w:rPr>
      <w:sz w:val="20"/>
      <w:lang w:val="fr-FR" w:eastAsia="fr-FR"/>
    </w:rPr>
  </w:style>
  <w:style w:type="paragraph" w:customStyle="1" w:styleId="JuParaSub">
    <w:name w:val="Ju_Para_Sub"/>
    <w:basedOn w:val="ECHRPara"/>
    <w:uiPriority w:val="99"/>
    <w:rsid w:val="0036750A"/>
    <w:pPr>
      <w:ind w:left="284"/>
    </w:pPr>
  </w:style>
  <w:style w:type="paragraph" w:customStyle="1" w:styleId="OpiParaSub">
    <w:name w:val="Opi_Para_Sub"/>
    <w:basedOn w:val="JuParaSub"/>
    <w:uiPriority w:val="99"/>
    <w:semiHidden/>
    <w:rsid w:val="0036750A"/>
  </w:style>
  <w:style w:type="paragraph" w:customStyle="1" w:styleId="JuSigned">
    <w:name w:val="Ju_Signed"/>
    <w:basedOn w:val="Normal"/>
    <w:next w:val="JuParaLast"/>
    <w:uiPriority w:val="99"/>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99"/>
    <w:semiHidden/>
    <w:rsid w:val="0036750A"/>
  </w:style>
  <w:style w:type="paragraph" w:customStyle="1" w:styleId="OpiQuotSub">
    <w:name w:val="Opi_Quot_Sub"/>
    <w:basedOn w:val="JuQuotSub"/>
    <w:uiPriority w:val="99"/>
    <w:semiHidden/>
    <w:rsid w:val="0036750A"/>
  </w:style>
  <w:style w:type="table" w:styleId="TableGrid">
    <w:name w:val="Table Grid"/>
    <w:basedOn w:val="TableNormal"/>
    <w:uiPriority w:val="99"/>
    <w:semiHidden/>
    <w:rsid w:val="0036750A"/>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link w:val="DocumentMapChar"/>
    <w:uiPriority w:val="99"/>
    <w:semiHidden/>
    <w:rsid w:val="001160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20951"/>
    <w:rPr>
      <w:rFonts w:eastAsia="MS Mincho"/>
      <w:sz w:val="0"/>
      <w:szCs w:val="0"/>
      <w:lang w:val="en-US" w:eastAsia="en-US"/>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99"/>
    <w:rsid w:val="0036750A"/>
    <w:pPr>
      <w:keepNext/>
      <w:keepLines/>
      <w:spacing w:before="240" w:after="120"/>
      <w:jc w:val="center"/>
      <w:outlineLvl w:val="3"/>
    </w:pPr>
    <w:rPr>
      <w:b/>
      <w:sz w:val="20"/>
      <w:lang w:val="fr-FR" w:eastAsia="fr-FR"/>
    </w:rPr>
  </w:style>
  <w:style w:type="paragraph" w:customStyle="1" w:styleId="JuTitle">
    <w:name w:val="Ju_Title"/>
    <w:basedOn w:val="Normal"/>
    <w:next w:val="ECHRPara"/>
    <w:uiPriority w:val="99"/>
    <w:rsid w:val="0036750A"/>
    <w:pPr>
      <w:spacing w:before="720" w:after="240"/>
      <w:jc w:val="center"/>
      <w:outlineLvl w:val="0"/>
    </w:pPr>
    <w:rPr>
      <w:b/>
      <w:caps/>
      <w:lang w:val="fr-FR" w:eastAsia="fr-FR"/>
    </w:rPr>
  </w:style>
  <w:style w:type="paragraph" w:customStyle="1" w:styleId="ECHRTitleCentre1">
    <w:name w:val="ECHR_Title_Centre_1"/>
    <w:aliases w:val="Opi_H_Head"/>
    <w:basedOn w:val="Normal"/>
    <w:next w:val="OpiPara"/>
    <w:uiPriority w:val="99"/>
    <w:semiHidden/>
    <w:rsid w:val="0036750A"/>
    <w:pPr>
      <w:keepNext/>
      <w:keepLines/>
      <w:spacing w:after="240"/>
      <w:jc w:val="center"/>
      <w:outlineLvl w:val="0"/>
    </w:pPr>
    <w:rPr>
      <w:sz w:val="28"/>
      <w:lang w:val="fr-FR" w:eastAsia="fr-FR"/>
    </w:rPr>
  </w:style>
  <w:style w:type="paragraph" w:customStyle="1" w:styleId="JuCase">
    <w:name w:val="Ju_Case"/>
    <w:basedOn w:val="Normal"/>
    <w:next w:val="ECHRPara"/>
    <w:uiPriority w:val="99"/>
    <w:semiHidden/>
    <w:rsid w:val="0036750A"/>
    <w:pPr>
      <w:ind w:firstLine="284"/>
    </w:pPr>
    <w:rPr>
      <w:b/>
    </w:rPr>
  </w:style>
  <w:style w:type="paragraph" w:customStyle="1" w:styleId="JuQuotSub">
    <w:name w:val="Ju_Quot_Sub"/>
    <w:basedOn w:val="ECHRParaQuote"/>
    <w:uiPriority w:val="99"/>
    <w:rsid w:val="0036750A"/>
    <w:pPr>
      <w:ind w:left="567"/>
    </w:pPr>
  </w:style>
  <w:style w:type="paragraph" w:customStyle="1" w:styleId="ECHRTitle1">
    <w:name w:val="ECHR_Title_1"/>
    <w:aliases w:val="Ju_H_Head"/>
    <w:basedOn w:val="Normal"/>
    <w:next w:val="ECHRPara"/>
    <w:link w:val="JuHHeadChar"/>
    <w:uiPriority w:val="99"/>
    <w:rsid w:val="0036750A"/>
    <w:pPr>
      <w:keepNext/>
      <w:keepLines/>
      <w:spacing w:before="720" w:after="240"/>
      <w:outlineLvl w:val="0"/>
    </w:pPr>
    <w:rPr>
      <w:sz w:val="28"/>
      <w:lang w:val="fr-FR" w:eastAsia="fr-FR"/>
    </w:rPr>
  </w:style>
  <w:style w:type="paragraph" w:customStyle="1" w:styleId="JuInitialled">
    <w:name w:val="Ju_Initialled"/>
    <w:basedOn w:val="Normal"/>
    <w:uiPriority w:val="99"/>
    <w:rsid w:val="0036750A"/>
    <w:pPr>
      <w:tabs>
        <w:tab w:val="center" w:pos="6407"/>
      </w:tabs>
      <w:spacing w:before="720"/>
      <w:jc w:val="right"/>
    </w:pPr>
    <w:rPr>
      <w:lang w:val="fr-FR" w:eastAsia="fr-FR"/>
    </w:rPr>
  </w:style>
  <w:style w:type="paragraph" w:customStyle="1" w:styleId="DecHTitle">
    <w:name w:val="Dec_H_Title"/>
    <w:basedOn w:val="ECHRTitleCentre1"/>
    <w:uiPriority w:val="99"/>
    <w:rsid w:val="0036750A"/>
  </w:style>
  <w:style w:type="paragraph" w:customStyle="1" w:styleId="ECHRTitleCentre2">
    <w:name w:val="ECHR_Title_Centre_2"/>
    <w:aliases w:val="Dec_H_Case"/>
    <w:basedOn w:val="Normal"/>
    <w:next w:val="ECHRPara"/>
    <w:uiPriority w:val="99"/>
    <w:rsid w:val="0036750A"/>
    <w:pPr>
      <w:spacing w:after="240"/>
      <w:jc w:val="center"/>
      <w:outlineLvl w:val="0"/>
    </w:pPr>
    <w:rPr>
      <w:lang w:val="fr-FR" w:eastAsia="fr-FR"/>
    </w:rPr>
  </w:style>
  <w:style w:type="paragraph" w:customStyle="1" w:styleId="OpiHA">
    <w:name w:val="Opi_H_A"/>
    <w:basedOn w:val="ECHRHeading1"/>
    <w:next w:val="OpiPara"/>
    <w:uiPriority w:val="99"/>
    <w:semiHidden/>
    <w:rsid w:val="0036750A"/>
    <w:pPr>
      <w:tabs>
        <w:tab w:val="clear" w:pos="357"/>
      </w:tabs>
      <w:outlineLvl w:val="1"/>
    </w:pPr>
    <w:rPr>
      <w:b/>
    </w:rPr>
  </w:style>
  <w:style w:type="character" w:customStyle="1" w:styleId="JUNAMES">
    <w:name w:val="JU_NAMES"/>
    <w:uiPriority w:val="99"/>
    <w:rsid w:val="0036750A"/>
    <w:rPr>
      <w:smallCaps/>
    </w:rPr>
  </w:style>
  <w:style w:type="paragraph" w:customStyle="1" w:styleId="OpiTranslation">
    <w:name w:val="Opi_Translation"/>
    <w:basedOn w:val="Normal"/>
    <w:next w:val="OpiPara"/>
    <w:uiPriority w:val="99"/>
    <w:semiHidden/>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eastAsia="MS Gothic"/>
      <w:b/>
      <w:bCs/>
      <w:color w:val="474747"/>
      <w:szCs w:val="24"/>
    </w:rPr>
  </w:style>
  <w:style w:type="paragraph" w:customStyle="1" w:styleId="JuCourt">
    <w:name w:val="Ju_Court"/>
    <w:basedOn w:val="Normal"/>
    <w:next w:val="Normal"/>
    <w:uiPriority w:val="99"/>
    <w:rsid w:val="0036750A"/>
    <w:pPr>
      <w:tabs>
        <w:tab w:val="left" w:pos="907"/>
        <w:tab w:val="left" w:pos="1701"/>
        <w:tab w:val="right" w:pos="7371"/>
      </w:tabs>
      <w:spacing w:before="240"/>
      <w:ind w:left="397" w:hanging="397"/>
      <w:jc w:val="left"/>
    </w:pPr>
    <w:rPr>
      <w:lang w:val="fr-FR" w:eastAsia="fr-FR"/>
    </w:rPr>
  </w:style>
  <w:style w:type="paragraph" w:customStyle="1" w:styleId="ECHRHeading1">
    <w:name w:val="ECHR_Heading_1"/>
    <w:aliases w:val="Ju_H_I_Roman"/>
    <w:basedOn w:val="Heading1"/>
    <w:next w:val="ECHRPara"/>
    <w:uiPriority w:val="99"/>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link w:val="JuHAChar"/>
    <w:uiPriority w:val="99"/>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99"/>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customStyle="1" w:styleId="BalloonTextChar1">
    <w:name w:val="Balloon Text Char1"/>
    <w:basedOn w:val="DefaultParagraphFont"/>
    <w:link w:val="BalloonText"/>
    <w:uiPriority w:val="99"/>
    <w:semiHidden/>
    <w:rsid w:val="00620951"/>
    <w:rPr>
      <w:rFonts w:eastAsia="MS Mincho"/>
      <w:sz w:val="0"/>
      <w:szCs w:val="0"/>
      <w:lang w:val="en-US" w:eastAsia="en-US"/>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link w:val="EndnoteTextChar"/>
    <w:uiPriority w:val="99"/>
    <w:semiHidden/>
    <w:rsid w:val="000903DC"/>
    <w:rPr>
      <w:sz w:val="20"/>
    </w:rPr>
  </w:style>
  <w:style w:type="character" w:customStyle="1" w:styleId="EndnoteTextChar">
    <w:name w:val="Endnote Text Char"/>
    <w:basedOn w:val="DefaultParagraphFont"/>
    <w:link w:val="EndnoteText"/>
    <w:uiPriority w:val="99"/>
    <w:semiHidden/>
    <w:rsid w:val="00620951"/>
    <w:rPr>
      <w:rFonts w:eastAsia="MS Mincho"/>
      <w:sz w:val="20"/>
      <w:szCs w:val="20"/>
      <w:lang w:val="en-US" w:eastAsia="en-US"/>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rFonts w:cs="Times New Roman"/>
      <w:color w:val="0072BC"/>
      <w:u w:val="single"/>
    </w:rPr>
  </w:style>
  <w:style w:type="paragraph" w:customStyle="1" w:styleId="ECHRHeading5">
    <w:name w:val="ECHR_Heading_5"/>
    <w:aliases w:val="Ju_H_i"/>
    <w:basedOn w:val="Heading5"/>
    <w:next w:val="ECHRPara"/>
    <w:uiPriority w:val="99"/>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1"/>
      </w:numPr>
    </w:pPr>
  </w:style>
  <w:style w:type="paragraph" w:customStyle="1" w:styleId="ECHRHeading7">
    <w:name w:val="ECHR_Heading_7"/>
    <w:aliases w:val="Ju_H_–"/>
    <w:basedOn w:val="Heading7"/>
    <w:next w:val="ECHRPara"/>
    <w:uiPriority w:val="99"/>
    <w:rsid w:val="0036750A"/>
    <w:pPr>
      <w:keepNext/>
      <w:keepLines/>
      <w:spacing w:before="240" w:after="120"/>
      <w:ind w:left="1236"/>
    </w:pPr>
    <w:rPr>
      <w:sz w:val="20"/>
    </w:rPr>
  </w:style>
  <w:style w:type="character" w:customStyle="1" w:styleId="JuITMark">
    <w:name w:val="Ju_ITMark"/>
    <w:basedOn w:val="DefaultParagraphFont"/>
    <w:uiPriority w:val="99"/>
    <w:rsid w:val="0036750A"/>
    <w:rPr>
      <w:rFonts w:cs="Times New Roman"/>
      <w:vanish/>
      <w:color w:val="339966"/>
      <w:sz w:val="14"/>
    </w:rPr>
  </w:style>
  <w:style w:type="paragraph" w:customStyle="1" w:styleId="JuParaLast">
    <w:name w:val="Ju_Para_Last"/>
    <w:basedOn w:val="Normal"/>
    <w:next w:val="ECHRPara"/>
    <w:link w:val="JuParaLastChar"/>
    <w:uiPriority w:val="99"/>
    <w:rsid w:val="0036750A"/>
    <w:pPr>
      <w:keepNext/>
      <w:keepLines/>
      <w:spacing w:before="240"/>
      <w:ind w:firstLine="284"/>
    </w:pPr>
    <w:rPr>
      <w:lang w:val="fr-FR" w:eastAsia="fr-FR"/>
    </w:rPr>
  </w:style>
  <w:style w:type="paragraph" w:customStyle="1" w:styleId="DecList">
    <w:name w:val="Dec_List"/>
    <w:basedOn w:val="Normal"/>
    <w:link w:val="DecListChar"/>
    <w:uiPriority w:val="99"/>
    <w:rsid w:val="0036750A"/>
    <w:pPr>
      <w:spacing w:before="240"/>
      <w:ind w:left="284"/>
    </w:pPr>
    <w:rPr>
      <w:lang w:val="fr-FR" w:eastAsia="fr-FR"/>
    </w:rPr>
  </w:style>
  <w:style w:type="paragraph" w:customStyle="1" w:styleId="ECHRDecisionBody">
    <w:name w:val="ECHR_Decision_Body"/>
    <w:aliases w:val="Ju_Judges"/>
    <w:basedOn w:val="Normal"/>
    <w:uiPriority w:val="99"/>
    <w:rsid w:val="0036750A"/>
    <w:pPr>
      <w:tabs>
        <w:tab w:val="left" w:pos="567"/>
        <w:tab w:val="left" w:pos="1134"/>
      </w:tabs>
      <w:jc w:val="left"/>
    </w:pPr>
    <w:rPr>
      <w:lang w:val="fr-FR" w:eastAsia="fr-FR"/>
    </w:rPr>
  </w:style>
  <w:style w:type="paragraph" w:customStyle="1" w:styleId="JuList">
    <w:name w:val="Ju_List"/>
    <w:basedOn w:val="Normal"/>
    <w:uiPriority w:val="99"/>
    <w:rsid w:val="0036750A"/>
    <w:pPr>
      <w:ind w:left="340" w:hanging="340"/>
    </w:pPr>
    <w:rPr>
      <w:lang w:val="fr-FR" w:eastAsia="fr-FR"/>
    </w:rPr>
  </w:style>
  <w:style w:type="paragraph" w:customStyle="1" w:styleId="JuLista">
    <w:name w:val="Ju_List_a"/>
    <w:basedOn w:val="JuList"/>
    <w:uiPriority w:val="99"/>
    <w:rsid w:val="0036750A"/>
    <w:pPr>
      <w:ind w:left="346" w:firstLine="0"/>
    </w:pPr>
  </w:style>
  <w:style w:type="character" w:styleId="PlaceholderText">
    <w:name w:val="Placeholder Text"/>
    <w:basedOn w:val="DefaultParagraphFont"/>
    <w:uiPriority w:val="99"/>
    <w:semiHidden/>
    <w:rsid w:val="00F24036"/>
    <w:rPr>
      <w:rFonts w:cs="Times New Roman"/>
      <w:color w:val="808080"/>
    </w:rPr>
  </w:style>
  <w:style w:type="paragraph" w:customStyle="1" w:styleId="JuListi">
    <w:name w:val="Ju_List_i"/>
    <w:basedOn w:val="Normal"/>
    <w:next w:val="JuLista"/>
    <w:uiPriority w:val="99"/>
    <w:rsid w:val="0036750A"/>
    <w:pPr>
      <w:ind w:left="794"/>
    </w:pPr>
    <w:rPr>
      <w:lang w:val="fr-FR" w:eastAsia="fr-FR"/>
    </w:rPr>
  </w:style>
  <w:style w:type="paragraph" w:customStyle="1" w:styleId="OpiH1">
    <w:name w:val="Opi_H_1"/>
    <w:basedOn w:val="ECHRHeading2"/>
    <w:uiPriority w:val="99"/>
    <w:semiHidden/>
    <w:rsid w:val="0036750A"/>
    <w:pPr>
      <w:ind w:left="635" w:hanging="357"/>
      <w:outlineLvl w:val="2"/>
    </w:pPr>
  </w:style>
  <w:style w:type="paragraph" w:styleId="Title">
    <w:name w:val="Title"/>
    <w:basedOn w:val="Normal"/>
    <w:next w:val="Normal"/>
    <w:link w:val="TitleChar"/>
    <w:uiPriority w:val="99"/>
    <w:qFormat/>
    <w:rsid w:val="0036750A"/>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locked/>
    <w:rsid w:val="0036750A"/>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36750A"/>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locked/>
    <w:rsid w:val="0036750A"/>
    <w:rPr>
      <w:rFonts w:ascii="Times New Roman" w:eastAsia="MS Gothic" w:hAnsi="Times New Roman" w:cs="Times New Roman"/>
      <w:i/>
      <w:iCs/>
      <w:spacing w:val="13"/>
      <w:sz w:val="24"/>
      <w:szCs w:val="24"/>
    </w:rPr>
  </w:style>
  <w:style w:type="character" w:styleId="Strong">
    <w:name w:val="Strong"/>
    <w:basedOn w:val="DefaultParagraphFont"/>
    <w:uiPriority w:val="99"/>
    <w:qFormat/>
    <w:rsid w:val="0036750A"/>
    <w:rPr>
      <w:rFonts w:cs="Times New Roman"/>
      <w:b/>
    </w:rPr>
  </w:style>
  <w:style w:type="character" w:styleId="Emphasis">
    <w:name w:val="Emphasis"/>
    <w:basedOn w:val="DefaultParagraphFont"/>
    <w:uiPriority w:val="99"/>
    <w:qFormat/>
    <w:rsid w:val="0036750A"/>
    <w:rPr>
      <w:rFonts w:cs="Times New Roman"/>
      <w:b/>
      <w:i/>
      <w:spacing w:val="10"/>
      <w:shd w:val="clear" w:color="auto" w:fill="auto"/>
    </w:rPr>
  </w:style>
  <w:style w:type="paragraph" w:styleId="NoSpacing">
    <w:name w:val="No Spacing"/>
    <w:basedOn w:val="Normal"/>
    <w:link w:val="NoSpacingChar"/>
    <w:uiPriority w:val="99"/>
    <w:qFormat/>
    <w:rsid w:val="0036750A"/>
    <w:rPr>
      <w:sz w:val="22"/>
      <w:lang w:val="fr-FR" w:eastAsia="fr-FR"/>
    </w:rPr>
  </w:style>
  <w:style w:type="character" w:customStyle="1" w:styleId="NoSpacingChar">
    <w:name w:val="No Spacing Char"/>
    <w:basedOn w:val="DefaultParagraphFont"/>
    <w:link w:val="NoSpacing"/>
    <w:uiPriority w:val="99"/>
    <w:locked/>
    <w:rsid w:val="0036750A"/>
    <w:rPr>
      <w:rFonts w:eastAsia="MS Mincho" w:cs="Times New Roman"/>
    </w:rPr>
  </w:style>
  <w:style w:type="paragraph" w:styleId="ListParagraph">
    <w:name w:val="List Paragraph"/>
    <w:basedOn w:val="Normal"/>
    <w:uiPriority w:val="99"/>
    <w:qFormat/>
    <w:rsid w:val="0036750A"/>
    <w:pPr>
      <w:ind w:left="720"/>
      <w:contextualSpacing/>
    </w:pPr>
    <w:rPr>
      <w:lang w:val="fr-FR" w:eastAsia="fr-FR"/>
    </w:rPr>
  </w:style>
  <w:style w:type="paragraph" w:styleId="Quote">
    <w:name w:val="Quote"/>
    <w:basedOn w:val="Normal"/>
    <w:next w:val="Normal"/>
    <w:link w:val="QuoteChar"/>
    <w:uiPriority w:val="99"/>
    <w:qFormat/>
    <w:rsid w:val="0036750A"/>
    <w:pPr>
      <w:spacing w:before="200"/>
      <w:ind w:left="360" w:right="360"/>
    </w:pPr>
    <w:rPr>
      <w:i/>
      <w:iCs/>
      <w:sz w:val="22"/>
      <w:lang w:val="fr-FR" w:eastAsia="fr-FR"/>
    </w:rPr>
  </w:style>
  <w:style w:type="character" w:customStyle="1" w:styleId="QuoteChar">
    <w:name w:val="Quote Char"/>
    <w:basedOn w:val="DefaultParagraphFont"/>
    <w:link w:val="Quote"/>
    <w:uiPriority w:val="99"/>
    <w:locked/>
    <w:rsid w:val="0036750A"/>
    <w:rPr>
      <w:rFonts w:eastAsia="MS Mincho" w:cs="Times New Roman"/>
      <w:i/>
      <w:iCs/>
    </w:rPr>
  </w:style>
  <w:style w:type="paragraph" w:styleId="IntenseQuote">
    <w:name w:val="Intense Quote"/>
    <w:basedOn w:val="Normal"/>
    <w:next w:val="Normal"/>
    <w:link w:val="IntenseQuoteChar"/>
    <w:uiPriority w:val="99"/>
    <w:qFormat/>
    <w:rsid w:val="0036750A"/>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locked/>
    <w:rsid w:val="0036750A"/>
    <w:rPr>
      <w:rFonts w:eastAsia="MS Mincho" w:cs="Times New Roman"/>
      <w:b/>
      <w:bCs/>
      <w:i/>
      <w:iCs/>
    </w:rPr>
  </w:style>
  <w:style w:type="character" w:styleId="SubtleEmphasis">
    <w:name w:val="Subtle Emphasis"/>
    <w:basedOn w:val="DefaultParagraphFont"/>
    <w:uiPriority w:val="99"/>
    <w:qFormat/>
    <w:rsid w:val="0036750A"/>
    <w:rPr>
      <w:i/>
    </w:rPr>
  </w:style>
  <w:style w:type="character" w:styleId="IntenseEmphasis">
    <w:name w:val="Intense Emphasis"/>
    <w:basedOn w:val="DefaultParagraphFont"/>
    <w:uiPriority w:val="99"/>
    <w:qFormat/>
    <w:rsid w:val="0036750A"/>
    <w:rPr>
      <w:b/>
    </w:rPr>
  </w:style>
  <w:style w:type="character" w:styleId="SubtleReference">
    <w:name w:val="Subtle Reference"/>
    <w:basedOn w:val="DefaultParagraphFont"/>
    <w:uiPriority w:val="99"/>
    <w:qFormat/>
    <w:rsid w:val="0036750A"/>
    <w:rPr>
      <w:smallCaps/>
    </w:rPr>
  </w:style>
  <w:style w:type="character" w:styleId="IntenseReference">
    <w:name w:val="Intense Reference"/>
    <w:basedOn w:val="DefaultParagraphFont"/>
    <w:uiPriority w:val="99"/>
    <w:qFormat/>
    <w:rsid w:val="0036750A"/>
    <w:rPr>
      <w:smallCaps/>
      <w:spacing w:val="5"/>
      <w:u w:val="single"/>
    </w:rPr>
  </w:style>
  <w:style w:type="character" w:styleId="BookTitle">
    <w:name w:val="Book Title"/>
    <w:basedOn w:val="DefaultParagraphFont"/>
    <w:uiPriority w:val="99"/>
    <w:qFormat/>
    <w:rsid w:val="0036750A"/>
    <w:rPr>
      <w:i/>
      <w:smallCaps/>
      <w:spacing w:val="5"/>
    </w:rPr>
  </w:style>
  <w:style w:type="paragraph" w:styleId="TOCHeading">
    <w:name w:val="TOC Heading"/>
    <w:basedOn w:val="Heading1"/>
    <w:next w:val="Normal"/>
    <w:uiPriority w:val="99"/>
    <w:qFormat/>
    <w:rsid w:val="0036750A"/>
    <w:pPr>
      <w:outlineLvl w:val="9"/>
    </w:pPr>
    <w:rPr>
      <w:color w:val="474747"/>
      <w:lang w:val="fr-FR" w:eastAsia="fr-FR"/>
    </w:rPr>
  </w:style>
  <w:style w:type="paragraph" w:customStyle="1" w:styleId="OpiHa0">
    <w:name w:val="Opi_H_a"/>
    <w:basedOn w:val="ECHRHeading3"/>
    <w:uiPriority w:val="99"/>
    <w:semiHidden/>
    <w:rsid w:val="0036750A"/>
    <w:pPr>
      <w:ind w:left="833" w:hanging="357"/>
      <w:outlineLvl w:val="3"/>
    </w:pPr>
    <w:rPr>
      <w:b/>
      <w:i w:val="0"/>
      <w:sz w:val="20"/>
    </w:rPr>
  </w:style>
  <w:style w:type="paragraph" w:customStyle="1" w:styleId="OpiHi">
    <w:name w:val="Opi_H_i"/>
    <w:basedOn w:val="ECHRHeading4"/>
    <w:uiPriority w:val="99"/>
    <w:semiHidden/>
    <w:rsid w:val="0036750A"/>
    <w:pPr>
      <w:ind w:left="1037" w:hanging="357"/>
      <w:outlineLvl w:val="4"/>
    </w:pPr>
    <w:rPr>
      <w:b w:val="0"/>
      <w:i/>
    </w:rPr>
  </w:style>
  <w:style w:type="paragraph" w:styleId="Bibliography">
    <w:name w:val="Bibliography"/>
    <w:basedOn w:val="Normal"/>
    <w:next w:val="Normal"/>
    <w:uiPriority w:val="99"/>
    <w:semiHidden/>
    <w:rsid w:val="0036750A"/>
  </w:style>
  <w:style w:type="paragraph" w:styleId="BlockText">
    <w:name w:val="Block Text"/>
    <w:basedOn w:val="Normal"/>
    <w:uiPriority w:val="99"/>
    <w:semiHidden/>
    <w:rsid w:val="0036750A"/>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uiPriority w:val="99"/>
    <w:locked/>
    <w:rsid w:val="0036750A"/>
    <w:rPr>
      <w:rFonts w:eastAsia="MS Mincho" w:cs="Times New Roman"/>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uiPriority w:val="99"/>
    <w:locked/>
    <w:rsid w:val="0036750A"/>
    <w:rPr>
      <w:rFonts w:eastAsia="MS Mincho" w:cs="Times New Roman"/>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uiPriority w:val="99"/>
    <w:locked/>
    <w:rsid w:val="0036750A"/>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uiPriority w:val="99"/>
    <w:locked/>
    <w:rsid w:val="0036750A"/>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uiPriority w:val="99"/>
    <w:locked/>
    <w:rsid w:val="0036750A"/>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uiPriority w:val="99"/>
    <w:locked/>
    <w:rsid w:val="0036750A"/>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uiPriority w:val="99"/>
    <w:locked/>
    <w:rsid w:val="0036750A"/>
    <w:rPr>
      <w:rFonts w:eastAsia="MS Mincho" w:cs="Times New Roman"/>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6750A"/>
    <w:rPr>
      <w:rFonts w:eastAsia="MS Mincho" w:cs="Times New Roman"/>
      <w:sz w:val="16"/>
      <w:szCs w:val="16"/>
      <w:lang w:val="en-US" w:eastAsia="en-US"/>
    </w:rPr>
  </w:style>
  <w:style w:type="paragraph" w:styleId="Caption">
    <w:name w:val="caption"/>
    <w:basedOn w:val="Normal"/>
    <w:next w:val="Normal"/>
    <w:uiPriority w:val="99"/>
    <w:qFormat/>
    <w:rsid w:val="0036750A"/>
    <w:pPr>
      <w:spacing w:after="200"/>
    </w:pPr>
    <w:rPr>
      <w:b/>
      <w:bCs/>
      <w:color w:val="0072BC"/>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uiPriority w:val="99"/>
    <w:locked/>
    <w:rsid w:val="0036750A"/>
    <w:rPr>
      <w:rFonts w:eastAsia="MS Mincho" w:cs="Times New Roman"/>
      <w:sz w:val="24"/>
      <w:lang w:val="en-US" w:eastAsia="en-US"/>
    </w:rPr>
  </w:style>
  <w:style w:type="table" w:styleId="ColorfulGrid">
    <w:name w:val="Colorful Grid"/>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36750A"/>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36750A"/>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SubjectChar">
    <w:name w:val="Comment Subject Char"/>
    <w:basedOn w:val="CommentTextChar"/>
    <w:link w:val="CommentSubject"/>
    <w:uiPriority w:val="99"/>
    <w:locked/>
    <w:rsid w:val="0036750A"/>
    <w:rPr>
      <w:b/>
      <w:bCs/>
      <w:szCs w:val="20"/>
    </w:rPr>
  </w:style>
  <w:style w:type="table" w:styleId="DarkList">
    <w:name w:val="Dark List"/>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uiPriority w:val="99"/>
    <w:locked/>
    <w:rsid w:val="0036750A"/>
    <w:rPr>
      <w:rFonts w:eastAsia="MS Mincho" w:cs="Times New Roman"/>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uiPriority w:val="99"/>
    <w:locked/>
    <w:rsid w:val="0036750A"/>
    <w:rPr>
      <w:rFonts w:eastAsia="MS Mincho" w:cs="Times New Roman"/>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36750A"/>
    <w:rPr>
      <w:rFonts w:eastAsia="MS Gothic"/>
      <w:sz w:val="20"/>
      <w:szCs w:val="20"/>
    </w:rPr>
  </w:style>
  <w:style w:type="character" w:styleId="HTMLAcronym">
    <w:name w:val="HTML Acronym"/>
    <w:basedOn w:val="DefaultParagraphFont"/>
    <w:uiPriority w:val="99"/>
    <w:semiHidden/>
    <w:rsid w:val="0036750A"/>
    <w:rPr>
      <w:rFonts w:cs="Times New Roman"/>
    </w:rPr>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uiPriority w:val="99"/>
    <w:locked/>
    <w:rsid w:val="0036750A"/>
    <w:rPr>
      <w:rFonts w:eastAsia="MS Mincho" w:cs="Times New Roman"/>
      <w:i/>
      <w:iCs/>
      <w:sz w:val="24"/>
      <w:lang w:val="en-US" w:eastAsia="en-US"/>
    </w:rPr>
  </w:style>
  <w:style w:type="character" w:styleId="HTMLCite">
    <w:name w:val="HTML Cite"/>
    <w:basedOn w:val="DefaultParagraphFont"/>
    <w:uiPriority w:val="99"/>
    <w:semiHidden/>
    <w:rsid w:val="0036750A"/>
    <w:rPr>
      <w:rFonts w:cs="Times New Roman"/>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rFonts w:cs="Times New Roman"/>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36750A"/>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rFonts w:cs="Times New Roman"/>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eastAsia="MS Gothic"/>
      <w:b/>
      <w:bCs/>
    </w:rPr>
  </w:style>
  <w:style w:type="table" w:styleId="LightGrid">
    <w:name w:val="Light Grid"/>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36750A"/>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36750A"/>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36750A"/>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36750A"/>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6750A"/>
    <w:rPr>
      <w:rFonts w:cs="Times New Roman"/>
    </w:rPr>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16"/>
      </w:numPr>
      <w:tabs>
        <w:tab w:val="clear" w:pos="360"/>
        <w:tab w:val="num" w:pos="643"/>
      </w:tabs>
      <w:ind w:left="643"/>
      <w:contextualSpacing/>
    </w:pPr>
  </w:style>
  <w:style w:type="paragraph" w:styleId="ListBullet3">
    <w:name w:val="List Bullet 3"/>
    <w:basedOn w:val="Normal"/>
    <w:uiPriority w:val="99"/>
    <w:semiHidden/>
    <w:rsid w:val="0036750A"/>
    <w:pPr>
      <w:numPr>
        <w:numId w:val="17"/>
      </w:numPr>
      <w:tabs>
        <w:tab w:val="clear" w:pos="643"/>
        <w:tab w:val="num" w:pos="926"/>
      </w:tabs>
      <w:ind w:left="926"/>
      <w:contextualSpacing/>
    </w:pPr>
  </w:style>
  <w:style w:type="paragraph" w:styleId="ListBullet4">
    <w:name w:val="List Bullet 4"/>
    <w:basedOn w:val="Normal"/>
    <w:uiPriority w:val="99"/>
    <w:semiHidden/>
    <w:rsid w:val="0036750A"/>
    <w:pPr>
      <w:numPr>
        <w:numId w:val="18"/>
      </w:numPr>
      <w:tabs>
        <w:tab w:val="clear" w:pos="926"/>
        <w:tab w:val="num" w:pos="1209"/>
      </w:tabs>
      <w:ind w:left="1209"/>
      <w:contextualSpacing/>
    </w:pPr>
  </w:style>
  <w:style w:type="paragraph" w:styleId="ListBullet5">
    <w:name w:val="List Bullet 5"/>
    <w:basedOn w:val="Normal"/>
    <w:uiPriority w:val="99"/>
    <w:semiHidden/>
    <w:rsid w:val="0036750A"/>
    <w:pPr>
      <w:numPr>
        <w:numId w:val="19"/>
      </w:numPr>
      <w:tabs>
        <w:tab w:val="clear" w:pos="1209"/>
        <w:tab w:val="num" w:pos="1492"/>
      </w:tabs>
      <w:ind w:left="1492"/>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20"/>
      </w:numPr>
      <w:tabs>
        <w:tab w:val="clear" w:pos="1492"/>
        <w:tab w:val="num" w:pos="360"/>
      </w:tabs>
      <w:ind w:left="360"/>
      <w:contextualSpacing/>
    </w:pPr>
  </w:style>
  <w:style w:type="paragraph" w:styleId="ListNumber2">
    <w:name w:val="List Number 2"/>
    <w:basedOn w:val="Normal"/>
    <w:uiPriority w:val="99"/>
    <w:semiHidden/>
    <w:rsid w:val="0036750A"/>
    <w:pPr>
      <w:numPr>
        <w:numId w:val="21"/>
      </w:numPr>
      <w:tabs>
        <w:tab w:val="clear" w:pos="360"/>
        <w:tab w:val="num" w:pos="643"/>
      </w:tabs>
      <w:ind w:left="643"/>
      <w:contextualSpacing/>
    </w:pPr>
  </w:style>
  <w:style w:type="paragraph" w:styleId="ListNumber3">
    <w:name w:val="List Number 3"/>
    <w:basedOn w:val="Normal"/>
    <w:uiPriority w:val="99"/>
    <w:semiHidden/>
    <w:rsid w:val="0036750A"/>
    <w:pPr>
      <w:numPr>
        <w:numId w:val="22"/>
      </w:numPr>
      <w:tabs>
        <w:tab w:val="clear" w:pos="720"/>
        <w:tab w:val="num" w:pos="926"/>
      </w:tabs>
      <w:ind w:left="926"/>
      <w:contextualSpacing/>
    </w:pPr>
  </w:style>
  <w:style w:type="paragraph" w:styleId="ListNumber4">
    <w:name w:val="List Number 4"/>
    <w:basedOn w:val="Normal"/>
    <w:uiPriority w:val="99"/>
    <w:semiHidden/>
    <w:rsid w:val="0036750A"/>
    <w:pPr>
      <w:numPr>
        <w:numId w:val="23"/>
      </w:numPr>
      <w:tabs>
        <w:tab w:val="num" w:pos="1209"/>
      </w:tabs>
      <w:ind w:left="1209"/>
      <w:contextualSpacing/>
    </w:pPr>
  </w:style>
  <w:style w:type="paragraph" w:styleId="ListNumber5">
    <w:name w:val="List Number 5"/>
    <w:basedOn w:val="Normal"/>
    <w:uiPriority w:val="99"/>
    <w:semiHidden/>
    <w:rsid w:val="0036750A"/>
    <w:pPr>
      <w:numPr>
        <w:numId w:val="24"/>
      </w:numPr>
      <w:tabs>
        <w:tab w:val="num" w:pos="1492"/>
      </w:tabs>
      <w:ind w:left="1492"/>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36750A"/>
    <w:rPr>
      <w:rFonts w:ascii="Consolas" w:eastAsia="MS Mincho" w:hAnsi="Consolas" w:cs="Consolas"/>
      <w:lang w:val="en-US" w:eastAsia="en-US" w:bidi="ar-SA"/>
    </w:rPr>
  </w:style>
  <w:style w:type="table" w:styleId="MediumGrid1">
    <w:name w:val="Medium Grid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36750A"/>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36750A"/>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36750A"/>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36750A"/>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36750A"/>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36750A"/>
    <w:rPr>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uiPriority w:val="99"/>
    <w:locked/>
    <w:rsid w:val="0036750A"/>
    <w:rPr>
      <w:rFonts w:eastAsia="MS Mincho" w:cs="Times New Roman"/>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uiPriority w:val="99"/>
    <w:locked/>
    <w:rsid w:val="0036750A"/>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uiPriority w:val="99"/>
    <w:locked/>
    <w:rsid w:val="0036750A"/>
    <w:rPr>
      <w:rFonts w:eastAsia="MS Mincho" w:cs="Times New Roman"/>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uiPriority w:val="99"/>
    <w:locked/>
    <w:rsid w:val="0036750A"/>
    <w:rPr>
      <w:rFonts w:eastAsia="MS Mincho" w:cs="Times New Roman"/>
      <w:sz w:val="24"/>
      <w:lang w:val="en-US" w:eastAsia="en-US"/>
    </w:rPr>
  </w:style>
  <w:style w:type="table" w:styleId="Table3Deffects1">
    <w:name w:val="Table 3D effects 1"/>
    <w:basedOn w:val="TableNormal"/>
    <w:uiPriority w:val="99"/>
    <w:semiHidden/>
    <w:rsid w:val="0036750A"/>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6750A"/>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6750A"/>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character" w:customStyle="1" w:styleId="JuParaChar">
    <w:name w:val="Ju_Para Char"/>
    <w:basedOn w:val="DefaultParagraphFont"/>
    <w:link w:val="ECHRPara"/>
    <w:uiPriority w:val="99"/>
    <w:locked/>
    <w:rsid w:val="00505DD0"/>
    <w:rPr>
      <w:rFonts w:eastAsia="MS Mincho" w:cs="Times New Roman"/>
      <w:sz w:val="24"/>
    </w:rPr>
  </w:style>
  <w:style w:type="character" w:customStyle="1" w:styleId="JuHHeadChar">
    <w:name w:val="Ju_H_Head Char"/>
    <w:basedOn w:val="DefaultParagraphFont"/>
    <w:link w:val="ECHRTitle1"/>
    <w:uiPriority w:val="99"/>
    <w:locked/>
    <w:rsid w:val="00505DD0"/>
    <w:rPr>
      <w:rFonts w:ascii="Times New Roman" w:eastAsia="MS Mincho" w:hAnsi="Times New Roman" w:cs="Times New Roman"/>
      <w:sz w:val="28"/>
    </w:rPr>
  </w:style>
  <w:style w:type="character" w:customStyle="1" w:styleId="JuParaLastChar">
    <w:name w:val="Ju_Para_Last Char"/>
    <w:basedOn w:val="DefaultParagraphFont"/>
    <w:link w:val="JuParaLast"/>
    <w:uiPriority w:val="99"/>
    <w:locked/>
    <w:rsid w:val="00505DD0"/>
    <w:rPr>
      <w:rFonts w:eastAsia="MS Mincho" w:cs="Times New Roman"/>
      <w:sz w:val="24"/>
    </w:rPr>
  </w:style>
  <w:style w:type="character" w:customStyle="1" w:styleId="JuHAChar">
    <w:name w:val="Ju_H_A Char"/>
    <w:basedOn w:val="DefaultParagraphFont"/>
    <w:link w:val="ECHRHeading2"/>
    <w:uiPriority w:val="99"/>
    <w:locked/>
    <w:rsid w:val="00505DD0"/>
    <w:rPr>
      <w:rFonts w:ascii="Times New Roman" w:eastAsia="MS Gothic" w:hAnsi="Times New Roman" w:cs="Times New Roman"/>
      <w:b/>
      <w:bCs/>
      <w:sz w:val="26"/>
      <w:szCs w:val="26"/>
    </w:rPr>
  </w:style>
  <w:style w:type="character" w:customStyle="1" w:styleId="DecListChar">
    <w:name w:val="Dec_List Char"/>
    <w:basedOn w:val="DefaultParagraphFont"/>
    <w:link w:val="DecList"/>
    <w:uiPriority w:val="99"/>
    <w:locked/>
    <w:rsid w:val="00505DD0"/>
    <w:rPr>
      <w:rFonts w:eastAsia="MS Mincho" w:cs="Times New Roman"/>
      <w:sz w:val="24"/>
    </w:rPr>
  </w:style>
  <w:style w:type="character" w:customStyle="1" w:styleId="sb8d990e2">
    <w:name w:val="sb8d990e2"/>
    <w:basedOn w:val="DefaultParagraphFont"/>
    <w:uiPriority w:val="99"/>
    <w:rsid w:val="00505DD0"/>
    <w:rPr>
      <w:rFonts w:cs="Times New Roman"/>
    </w:rPr>
  </w:style>
  <w:style w:type="character" w:customStyle="1" w:styleId="wordhighlighted">
    <w:name w:val="wordhighlighted"/>
    <w:basedOn w:val="DefaultParagraphFont"/>
    <w:uiPriority w:val="99"/>
    <w:rsid w:val="00505DD0"/>
    <w:rPr>
      <w:rFonts w:cs="Times New Roman"/>
    </w:rPr>
  </w:style>
  <w:style w:type="character" w:customStyle="1" w:styleId="s6b621b36">
    <w:name w:val="s6b621b36"/>
    <w:basedOn w:val="DefaultParagraphFont"/>
    <w:uiPriority w:val="99"/>
    <w:rsid w:val="00505DD0"/>
    <w:rPr>
      <w:rFonts w:cs="Times New Roman"/>
    </w:rPr>
  </w:style>
  <w:style w:type="numbering" w:styleId="111111">
    <w:name w:val="Outline List 2"/>
    <w:basedOn w:val="NoList"/>
    <w:uiPriority w:val="99"/>
    <w:semiHidden/>
    <w:unhideWhenUsed/>
    <w:rsid w:val="00620951"/>
    <w:pPr>
      <w:numPr>
        <w:numId w:val="23"/>
      </w:numPr>
    </w:pPr>
  </w:style>
  <w:style w:type="numbering" w:styleId="ArticleSection">
    <w:name w:val="Outline List 3"/>
    <w:basedOn w:val="NoList"/>
    <w:uiPriority w:val="99"/>
    <w:semiHidden/>
    <w:unhideWhenUsed/>
    <w:rsid w:val="00620951"/>
    <w:pPr>
      <w:numPr>
        <w:numId w:val="25"/>
      </w:numPr>
    </w:pPr>
  </w:style>
  <w:style w:type="numbering" w:styleId="1ai">
    <w:name w:val="Outline List 1"/>
    <w:basedOn w:val="NoList"/>
    <w:uiPriority w:val="99"/>
    <w:semiHidden/>
    <w:unhideWhenUsed/>
    <w:rsid w:val="00620951"/>
    <w:pPr>
      <w:numPr>
        <w:numId w:val="24"/>
      </w:numPr>
    </w:pPr>
  </w:style>
</w:styles>
</file>

<file path=word/webSettings.xml><?xml version="1.0" encoding="utf-8"?>
<w:webSettings xmlns:r="http://schemas.openxmlformats.org/officeDocument/2006/relationships" xmlns:w="http://schemas.openxmlformats.org/wordprocessingml/2006/main">
  <w:divs>
    <w:div w:id="1614248525">
      <w:marLeft w:val="0"/>
      <w:marRight w:val="0"/>
      <w:marTop w:val="0"/>
      <w:marBottom w:val="0"/>
      <w:divBdr>
        <w:top w:val="none" w:sz="0" w:space="0" w:color="auto"/>
        <w:left w:val="none" w:sz="0" w:space="0" w:color="auto"/>
        <w:bottom w:val="none" w:sz="0" w:space="0" w:color="auto"/>
        <w:right w:val="none" w:sz="0" w:space="0" w:color="auto"/>
      </w:divBdr>
    </w:div>
    <w:div w:id="1614248526">
      <w:marLeft w:val="0"/>
      <w:marRight w:val="0"/>
      <w:marTop w:val="0"/>
      <w:marBottom w:val="0"/>
      <w:divBdr>
        <w:top w:val="none" w:sz="0" w:space="0" w:color="auto"/>
        <w:left w:val="none" w:sz="0" w:space="0" w:color="auto"/>
        <w:bottom w:val="none" w:sz="0" w:space="0" w:color="auto"/>
        <w:right w:val="none" w:sz="0" w:space="0" w:color="auto"/>
      </w:divBdr>
    </w:div>
    <w:div w:id="1614248527">
      <w:marLeft w:val="0"/>
      <w:marRight w:val="0"/>
      <w:marTop w:val="0"/>
      <w:marBottom w:val="0"/>
      <w:divBdr>
        <w:top w:val="none" w:sz="0" w:space="0" w:color="auto"/>
        <w:left w:val="none" w:sz="0" w:space="0" w:color="auto"/>
        <w:bottom w:val="none" w:sz="0" w:space="0" w:color="auto"/>
        <w:right w:val="none" w:sz="0" w:space="0" w:color="auto"/>
      </w:divBdr>
    </w:div>
    <w:div w:id="1614248528">
      <w:marLeft w:val="0"/>
      <w:marRight w:val="0"/>
      <w:marTop w:val="0"/>
      <w:marBottom w:val="0"/>
      <w:divBdr>
        <w:top w:val="none" w:sz="0" w:space="0" w:color="auto"/>
        <w:left w:val="none" w:sz="0" w:space="0" w:color="auto"/>
        <w:bottom w:val="none" w:sz="0" w:space="0" w:color="auto"/>
        <w:right w:val="none" w:sz="0" w:space="0" w:color="auto"/>
      </w:divBdr>
    </w:div>
    <w:div w:id="1614248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1776</Words>
  <Characters>10125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dc:description/>
  <cp:lastModifiedBy/>
  <cp:revision>2</cp:revision>
  <cp:lastPrinted>2005-12-21T06:57:00Z</cp:lastPrinted>
  <dcterms:created xsi:type="dcterms:W3CDTF">2013-12-10T10:30:00Z</dcterms:created>
  <dcterms:modified xsi:type="dcterms:W3CDTF">2013-12-10T10:30:00Z</dcterms:modified>
  <cp:category>ECHR Template</cp:category>
</cp:coreProperties>
</file>